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92" w:type="dxa"/>
        <w:tblInd w:w="93" w:type="dxa"/>
        <w:tblLook w:val="04A0" w:firstRow="1" w:lastRow="0" w:firstColumn="1" w:lastColumn="0" w:noHBand="0" w:noVBand="1"/>
      </w:tblPr>
      <w:tblGrid>
        <w:gridCol w:w="8466"/>
        <w:gridCol w:w="222"/>
        <w:gridCol w:w="222"/>
        <w:gridCol w:w="222"/>
        <w:gridCol w:w="960"/>
      </w:tblGrid>
      <w:tr w:rsidR="000F3BE8" w:rsidRPr="000F3BE8" w:rsidTr="0040480B">
        <w:trPr>
          <w:trHeight w:val="390"/>
        </w:trPr>
        <w:tc>
          <w:tcPr>
            <w:tcW w:w="91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BE8" w:rsidRPr="000F3BE8" w:rsidRDefault="000F3BE8" w:rsidP="000F3BE8">
            <w:pPr>
              <w:spacing w:after="0" w:line="240" w:lineRule="auto"/>
              <w:rPr>
                <w:rFonts w:ascii="Arial Black" w:eastAsia="Times New Roman" w:hAnsi="Arial Black" w:cs="Times New Roman"/>
                <w:sz w:val="24"/>
                <w:szCs w:val="24"/>
              </w:rPr>
            </w:pPr>
            <w:bookmarkStart w:id="0" w:name="_GoBack"/>
            <w:bookmarkEnd w:id="0"/>
            <w:r w:rsidRPr="000F3BE8">
              <w:rPr>
                <w:rFonts w:ascii="Arial Black" w:eastAsia="Times New Roman" w:hAnsi="Arial Black" w:cs="Times New Roman"/>
                <w:sz w:val="24"/>
                <w:szCs w:val="24"/>
              </w:rPr>
              <w:t>График подъема уровня  в озере Байкал в 2020 2021гг.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BE8" w:rsidRPr="000F3BE8" w:rsidRDefault="000F3BE8" w:rsidP="000F3BE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</w:tr>
      <w:tr w:rsidR="000F3BE8" w:rsidRPr="000F3BE8" w:rsidTr="0040480B">
        <w:trPr>
          <w:trHeight w:val="390"/>
        </w:trPr>
        <w:tc>
          <w:tcPr>
            <w:tcW w:w="8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BE8" w:rsidRPr="000F3BE8" w:rsidRDefault="000F3BE8" w:rsidP="000F3BE8">
            <w:pPr>
              <w:spacing w:after="0" w:line="240" w:lineRule="auto"/>
              <w:rPr>
                <w:rFonts w:ascii="Arial Black" w:eastAsia="Times New Roman" w:hAnsi="Arial Black" w:cs="Times New Roman"/>
                <w:sz w:val="24"/>
                <w:szCs w:val="24"/>
              </w:rPr>
            </w:pPr>
            <w:r>
              <w:rPr>
                <w:rFonts w:ascii="Arial Black" w:eastAsia="Times New Roman" w:hAnsi="Arial Black" w:cs="Times New Roman"/>
                <w:sz w:val="24"/>
                <w:szCs w:val="24"/>
              </w:rPr>
              <w:t>по данным гидрографа на 1</w:t>
            </w:r>
            <w:r w:rsidRPr="000F3BE8">
              <w:rPr>
                <w:rFonts w:ascii="Arial Black" w:eastAsia="Times New Roman" w:hAnsi="Arial Black" w:cs="Times New Roman"/>
                <w:sz w:val="24"/>
                <w:szCs w:val="24"/>
              </w:rPr>
              <w:t>0.</w:t>
            </w:r>
            <w:r>
              <w:rPr>
                <w:rFonts w:ascii="Arial Black" w:eastAsia="Times New Roman" w:hAnsi="Arial Black" w:cs="Times New Roman"/>
                <w:sz w:val="24"/>
                <w:szCs w:val="24"/>
              </w:rPr>
              <w:t>1</w:t>
            </w:r>
            <w:r w:rsidRPr="000F3BE8">
              <w:rPr>
                <w:rFonts w:ascii="Arial Black" w:eastAsia="Times New Roman" w:hAnsi="Arial Black" w:cs="Times New Roman"/>
                <w:sz w:val="24"/>
                <w:szCs w:val="24"/>
              </w:rPr>
              <w:t>0.2021г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BE8" w:rsidRPr="000F3BE8" w:rsidRDefault="000F3BE8" w:rsidP="000F3BE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BE8" w:rsidRPr="000F3BE8" w:rsidRDefault="000F3BE8" w:rsidP="000F3BE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BE8" w:rsidRPr="000F3BE8" w:rsidRDefault="000F3BE8" w:rsidP="000F3BE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3BE8" w:rsidRPr="000F3BE8" w:rsidRDefault="000F3BE8" w:rsidP="000F3BE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</w:rPr>
            </w:pPr>
          </w:p>
        </w:tc>
      </w:tr>
    </w:tbl>
    <w:p w:rsidR="000F3BE8" w:rsidRDefault="000F3BE8" w:rsidP="00B658B5">
      <w:pPr>
        <w:ind w:left="-851" w:firstLine="340"/>
        <w:jc w:val="both"/>
        <w:rPr>
          <w:rFonts w:ascii="Arial Narrow" w:hAnsi="Arial Narrow"/>
          <w:b/>
          <w:sz w:val="24"/>
          <w:szCs w:val="24"/>
        </w:rPr>
      </w:pPr>
      <w:r>
        <w:rPr>
          <w:noProof/>
        </w:rPr>
        <w:drawing>
          <wp:inline distT="0" distB="0" distL="0" distR="0" wp14:anchorId="1635F8C4" wp14:editId="13D71368">
            <wp:extent cx="5940425" cy="8264113"/>
            <wp:effectExtent l="0" t="0" r="22225" b="22860"/>
            <wp:docPr id="1" name="Диаграмма 1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7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sectPr w:rsidR="000F3BE8" w:rsidSect="009D1C9E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 Cyr">
    <w:panose1 w:val="020B0604020202020204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44A60"/>
    <w:multiLevelType w:val="hybridMultilevel"/>
    <w:tmpl w:val="191A5166"/>
    <w:lvl w:ilvl="0" w:tplc="EFBE137E">
      <w:start w:val="2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">
    <w:nsid w:val="1CAE03D0"/>
    <w:multiLevelType w:val="hybridMultilevel"/>
    <w:tmpl w:val="54C69F38"/>
    <w:lvl w:ilvl="0" w:tplc="21E803C8">
      <w:start w:val="1"/>
      <w:numFmt w:val="decimal"/>
      <w:lvlText w:val="%1."/>
      <w:lvlJc w:val="left"/>
      <w:pPr>
        <w:ind w:left="-1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9" w:hanging="360"/>
      </w:pPr>
    </w:lvl>
    <w:lvl w:ilvl="2" w:tplc="0419001B" w:tentative="1">
      <w:start w:val="1"/>
      <w:numFmt w:val="lowerRoman"/>
      <w:lvlText w:val="%3."/>
      <w:lvlJc w:val="right"/>
      <w:pPr>
        <w:ind w:left="1289" w:hanging="180"/>
      </w:pPr>
    </w:lvl>
    <w:lvl w:ilvl="3" w:tplc="0419000F" w:tentative="1">
      <w:start w:val="1"/>
      <w:numFmt w:val="decimal"/>
      <w:lvlText w:val="%4."/>
      <w:lvlJc w:val="left"/>
      <w:pPr>
        <w:ind w:left="2009" w:hanging="360"/>
      </w:pPr>
    </w:lvl>
    <w:lvl w:ilvl="4" w:tplc="04190019" w:tentative="1">
      <w:start w:val="1"/>
      <w:numFmt w:val="lowerLetter"/>
      <w:lvlText w:val="%5."/>
      <w:lvlJc w:val="left"/>
      <w:pPr>
        <w:ind w:left="2729" w:hanging="360"/>
      </w:pPr>
    </w:lvl>
    <w:lvl w:ilvl="5" w:tplc="0419001B" w:tentative="1">
      <w:start w:val="1"/>
      <w:numFmt w:val="lowerRoman"/>
      <w:lvlText w:val="%6."/>
      <w:lvlJc w:val="right"/>
      <w:pPr>
        <w:ind w:left="3449" w:hanging="180"/>
      </w:pPr>
    </w:lvl>
    <w:lvl w:ilvl="6" w:tplc="0419000F" w:tentative="1">
      <w:start w:val="1"/>
      <w:numFmt w:val="decimal"/>
      <w:lvlText w:val="%7."/>
      <w:lvlJc w:val="left"/>
      <w:pPr>
        <w:ind w:left="4169" w:hanging="360"/>
      </w:pPr>
    </w:lvl>
    <w:lvl w:ilvl="7" w:tplc="04190019" w:tentative="1">
      <w:start w:val="1"/>
      <w:numFmt w:val="lowerLetter"/>
      <w:lvlText w:val="%8."/>
      <w:lvlJc w:val="left"/>
      <w:pPr>
        <w:ind w:left="4889" w:hanging="360"/>
      </w:pPr>
    </w:lvl>
    <w:lvl w:ilvl="8" w:tplc="0419001B" w:tentative="1">
      <w:start w:val="1"/>
      <w:numFmt w:val="lowerRoman"/>
      <w:lvlText w:val="%9."/>
      <w:lvlJc w:val="right"/>
      <w:pPr>
        <w:ind w:left="5609" w:hanging="180"/>
      </w:pPr>
    </w:lvl>
  </w:abstractNum>
  <w:abstractNum w:abstractNumId="2">
    <w:nsid w:val="1F89116D"/>
    <w:multiLevelType w:val="hybridMultilevel"/>
    <w:tmpl w:val="2D185724"/>
    <w:lvl w:ilvl="0" w:tplc="BEC29590">
      <w:start w:val="1"/>
      <w:numFmt w:val="decimal"/>
      <w:lvlText w:val="%1."/>
      <w:lvlJc w:val="left"/>
      <w:pPr>
        <w:ind w:left="257" w:hanging="7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9" w:hanging="360"/>
      </w:pPr>
    </w:lvl>
    <w:lvl w:ilvl="2" w:tplc="0419001B" w:tentative="1">
      <w:start w:val="1"/>
      <w:numFmt w:val="lowerRoman"/>
      <w:lvlText w:val="%3."/>
      <w:lvlJc w:val="right"/>
      <w:pPr>
        <w:ind w:left="1289" w:hanging="180"/>
      </w:pPr>
    </w:lvl>
    <w:lvl w:ilvl="3" w:tplc="0419000F" w:tentative="1">
      <w:start w:val="1"/>
      <w:numFmt w:val="decimal"/>
      <w:lvlText w:val="%4."/>
      <w:lvlJc w:val="left"/>
      <w:pPr>
        <w:ind w:left="2009" w:hanging="360"/>
      </w:pPr>
    </w:lvl>
    <w:lvl w:ilvl="4" w:tplc="04190019" w:tentative="1">
      <w:start w:val="1"/>
      <w:numFmt w:val="lowerLetter"/>
      <w:lvlText w:val="%5."/>
      <w:lvlJc w:val="left"/>
      <w:pPr>
        <w:ind w:left="2729" w:hanging="360"/>
      </w:pPr>
    </w:lvl>
    <w:lvl w:ilvl="5" w:tplc="0419001B" w:tentative="1">
      <w:start w:val="1"/>
      <w:numFmt w:val="lowerRoman"/>
      <w:lvlText w:val="%6."/>
      <w:lvlJc w:val="right"/>
      <w:pPr>
        <w:ind w:left="3449" w:hanging="180"/>
      </w:pPr>
    </w:lvl>
    <w:lvl w:ilvl="6" w:tplc="0419000F" w:tentative="1">
      <w:start w:val="1"/>
      <w:numFmt w:val="decimal"/>
      <w:lvlText w:val="%7."/>
      <w:lvlJc w:val="left"/>
      <w:pPr>
        <w:ind w:left="4169" w:hanging="360"/>
      </w:pPr>
    </w:lvl>
    <w:lvl w:ilvl="7" w:tplc="04190019" w:tentative="1">
      <w:start w:val="1"/>
      <w:numFmt w:val="lowerLetter"/>
      <w:lvlText w:val="%8."/>
      <w:lvlJc w:val="left"/>
      <w:pPr>
        <w:ind w:left="4889" w:hanging="360"/>
      </w:pPr>
    </w:lvl>
    <w:lvl w:ilvl="8" w:tplc="0419001B" w:tentative="1">
      <w:start w:val="1"/>
      <w:numFmt w:val="lowerRoman"/>
      <w:lvlText w:val="%9."/>
      <w:lvlJc w:val="right"/>
      <w:pPr>
        <w:ind w:left="5609" w:hanging="180"/>
      </w:pPr>
    </w:lvl>
  </w:abstractNum>
  <w:abstractNum w:abstractNumId="3">
    <w:nsid w:val="2E6B77D7"/>
    <w:multiLevelType w:val="hybridMultilevel"/>
    <w:tmpl w:val="D9D2EC5A"/>
    <w:lvl w:ilvl="0" w:tplc="F6B2D42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63D0934"/>
    <w:multiLevelType w:val="multilevel"/>
    <w:tmpl w:val="8B56D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39520F"/>
    <w:multiLevelType w:val="multilevel"/>
    <w:tmpl w:val="8A381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260519"/>
    <w:multiLevelType w:val="hybridMultilevel"/>
    <w:tmpl w:val="90A23FB0"/>
    <w:lvl w:ilvl="0" w:tplc="66508832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7">
    <w:nsid w:val="700D7371"/>
    <w:multiLevelType w:val="hybridMultilevel"/>
    <w:tmpl w:val="461894B2"/>
    <w:lvl w:ilvl="0" w:tplc="AF94550C">
      <w:start w:val="1"/>
      <w:numFmt w:val="decimal"/>
      <w:lvlText w:val="%1."/>
      <w:lvlJc w:val="left"/>
      <w:pPr>
        <w:ind w:left="-151" w:hanging="360"/>
      </w:pPr>
      <w:rPr>
        <w:rFonts w:cstheme="minorBid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569" w:hanging="360"/>
      </w:pPr>
    </w:lvl>
    <w:lvl w:ilvl="2" w:tplc="0419001B" w:tentative="1">
      <w:start w:val="1"/>
      <w:numFmt w:val="lowerRoman"/>
      <w:lvlText w:val="%3."/>
      <w:lvlJc w:val="right"/>
      <w:pPr>
        <w:ind w:left="1289" w:hanging="180"/>
      </w:pPr>
    </w:lvl>
    <w:lvl w:ilvl="3" w:tplc="0419000F" w:tentative="1">
      <w:start w:val="1"/>
      <w:numFmt w:val="decimal"/>
      <w:lvlText w:val="%4."/>
      <w:lvlJc w:val="left"/>
      <w:pPr>
        <w:ind w:left="2009" w:hanging="360"/>
      </w:pPr>
    </w:lvl>
    <w:lvl w:ilvl="4" w:tplc="04190019" w:tentative="1">
      <w:start w:val="1"/>
      <w:numFmt w:val="lowerLetter"/>
      <w:lvlText w:val="%5."/>
      <w:lvlJc w:val="left"/>
      <w:pPr>
        <w:ind w:left="2729" w:hanging="360"/>
      </w:pPr>
    </w:lvl>
    <w:lvl w:ilvl="5" w:tplc="0419001B" w:tentative="1">
      <w:start w:val="1"/>
      <w:numFmt w:val="lowerRoman"/>
      <w:lvlText w:val="%6."/>
      <w:lvlJc w:val="right"/>
      <w:pPr>
        <w:ind w:left="3449" w:hanging="180"/>
      </w:pPr>
    </w:lvl>
    <w:lvl w:ilvl="6" w:tplc="0419000F" w:tentative="1">
      <w:start w:val="1"/>
      <w:numFmt w:val="decimal"/>
      <w:lvlText w:val="%7."/>
      <w:lvlJc w:val="left"/>
      <w:pPr>
        <w:ind w:left="4169" w:hanging="360"/>
      </w:pPr>
    </w:lvl>
    <w:lvl w:ilvl="7" w:tplc="04190019" w:tentative="1">
      <w:start w:val="1"/>
      <w:numFmt w:val="lowerLetter"/>
      <w:lvlText w:val="%8."/>
      <w:lvlJc w:val="left"/>
      <w:pPr>
        <w:ind w:left="4889" w:hanging="360"/>
      </w:pPr>
    </w:lvl>
    <w:lvl w:ilvl="8" w:tplc="0419001B" w:tentative="1">
      <w:start w:val="1"/>
      <w:numFmt w:val="lowerRoman"/>
      <w:lvlText w:val="%9."/>
      <w:lvlJc w:val="right"/>
      <w:pPr>
        <w:ind w:left="5609" w:hanging="180"/>
      </w:pPr>
    </w:lvl>
  </w:abstractNum>
  <w:abstractNum w:abstractNumId="8">
    <w:nsid w:val="7AF670E4"/>
    <w:multiLevelType w:val="hybridMultilevel"/>
    <w:tmpl w:val="A8D6C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4F4D90"/>
    <w:multiLevelType w:val="hybridMultilevel"/>
    <w:tmpl w:val="63182560"/>
    <w:lvl w:ilvl="0" w:tplc="AD8C693A">
      <w:start w:val="1"/>
      <w:numFmt w:val="decimal"/>
      <w:lvlText w:val="%1."/>
      <w:lvlJc w:val="left"/>
      <w:pPr>
        <w:ind w:left="-1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9" w:hanging="360"/>
      </w:pPr>
    </w:lvl>
    <w:lvl w:ilvl="2" w:tplc="0419001B" w:tentative="1">
      <w:start w:val="1"/>
      <w:numFmt w:val="lowerRoman"/>
      <w:lvlText w:val="%3."/>
      <w:lvlJc w:val="right"/>
      <w:pPr>
        <w:ind w:left="1289" w:hanging="180"/>
      </w:pPr>
    </w:lvl>
    <w:lvl w:ilvl="3" w:tplc="0419000F" w:tentative="1">
      <w:start w:val="1"/>
      <w:numFmt w:val="decimal"/>
      <w:lvlText w:val="%4."/>
      <w:lvlJc w:val="left"/>
      <w:pPr>
        <w:ind w:left="2009" w:hanging="360"/>
      </w:pPr>
    </w:lvl>
    <w:lvl w:ilvl="4" w:tplc="04190019" w:tentative="1">
      <w:start w:val="1"/>
      <w:numFmt w:val="lowerLetter"/>
      <w:lvlText w:val="%5."/>
      <w:lvlJc w:val="left"/>
      <w:pPr>
        <w:ind w:left="2729" w:hanging="360"/>
      </w:pPr>
    </w:lvl>
    <w:lvl w:ilvl="5" w:tplc="0419001B" w:tentative="1">
      <w:start w:val="1"/>
      <w:numFmt w:val="lowerRoman"/>
      <w:lvlText w:val="%6."/>
      <w:lvlJc w:val="right"/>
      <w:pPr>
        <w:ind w:left="3449" w:hanging="180"/>
      </w:pPr>
    </w:lvl>
    <w:lvl w:ilvl="6" w:tplc="0419000F" w:tentative="1">
      <w:start w:val="1"/>
      <w:numFmt w:val="decimal"/>
      <w:lvlText w:val="%7."/>
      <w:lvlJc w:val="left"/>
      <w:pPr>
        <w:ind w:left="4169" w:hanging="360"/>
      </w:pPr>
    </w:lvl>
    <w:lvl w:ilvl="7" w:tplc="04190019" w:tentative="1">
      <w:start w:val="1"/>
      <w:numFmt w:val="lowerLetter"/>
      <w:lvlText w:val="%8."/>
      <w:lvlJc w:val="left"/>
      <w:pPr>
        <w:ind w:left="4889" w:hanging="360"/>
      </w:pPr>
    </w:lvl>
    <w:lvl w:ilvl="8" w:tplc="0419001B" w:tentative="1">
      <w:start w:val="1"/>
      <w:numFmt w:val="lowerRoman"/>
      <w:lvlText w:val="%9."/>
      <w:lvlJc w:val="right"/>
      <w:pPr>
        <w:ind w:left="5609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8"/>
  </w:num>
  <w:num w:numId="5">
    <w:abstractNumId w:val="9"/>
  </w:num>
  <w:num w:numId="6">
    <w:abstractNumId w:val="4"/>
  </w:num>
  <w:num w:numId="7">
    <w:abstractNumId w:val="5"/>
  </w:num>
  <w:num w:numId="8">
    <w:abstractNumId w:val="2"/>
  </w:num>
  <w:num w:numId="9">
    <w:abstractNumId w:val="1"/>
  </w:num>
  <w:num w:numId="10">
    <w:abstractNumId w:val="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C9E"/>
    <w:rsid w:val="000036D2"/>
    <w:rsid w:val="00015C46"/>
    <w:rsid w:val="00015C4E"/>
    <w:rsid w:val="00025EF7"/>
    <w:rsid w:val="00042937"/>
    <w:rsid w:val="00042DBD"/>
    <w:rsid w:val="00073756"/>
    <w:rsid w:val="0007443F"/>
    <w:rsid w:val="00081149"/>
    <w:rsid w:val="000A4020"/>
    <w:rsid w:val="000D2F25"/>
    <w:rsid w:val="000D2FBD"/>
    <w:rsid w:val="000D7FDF"/>
    <w:rsid w:val="000E28FB"/>
    <w:rsid w:val="000E6643"/>
    <w:rsid w:val="000F168C"/>
    <w:rsid w:val="000F3BE8"/>
    <w:rsid w:val="00110050"/>
    <w:rsid w:val="00112D1E"/>
    <w:rsid w:val="00137744"/>
    <w:rsid w:val="00143C97"/>
    <w:rsid w:val="00146E24"/>
    <w:rsid w:val="0014778A"/>
    <w:rsid w:val="00154236"/>
    <w:rsid w:val="0015735A"/>
    <w:rsid w:val="001609A4"/>
    <w:rsid w:val="00174C15"/>
    <w:rsid w:val="00174D65"/>
    <w:rsid w:val="0017598A"/>
    <w:rsid w:val="00176644"/>
    <w:rsid w:val="00180483"/>
    <w:rsid w:val="0018476F"/>
    <w:rsid w:val="00185A3F"/>
    <w:rsid w:val="001924DC"/>
    <w:rsid w:val="00194646"/>
    <w:rsid w:val="001952C1"/>
    <w:rsid w:val="001A79E3"/>
    <w:rsid w:val="001B0D39"/>
    <w:rsid w:val="001D187C"/>
    <w:rsid w:val="001D51D0"/>
    <w:rsid w:val="001E0579"/>
    <w:rsid w:val="001E1543"/>
    <w:rsid w:val="001E3138"/>
    <w:rsid w:val="001E686C"/>
    <w:rsid w:val="00205773"/>
    <w:rsid w:val="00207E4A"/>
    <w:rsid w:val="00256032"/>
    <w:rsid w:val="00284FA4"/>
    <w:rsid w:val="002854D4"/>
    <w:rsid w:val="00287AFA"/>
    <w:rsid w:val="00294FD6"/>
    <w:rsid w:val="002A0BC8"/>
    <w:rsid w:val="002A17A2"/>
    <w:rsid w:val="002A40AF"/>
    <w:rsid w:val="002B1A63"/>
    <w:rsid w:val="002B6F48"/>
    <w:rsid w:val="002C50E6"/>
    <w:rsid w:val="002E1783"/>
    <w:rsid w:val="002E23DE"/>
    <w:rsid w:val="002F0CEC"/>
    <w:rsid w:val="002F3227"/>
    <w:rsid w:val="003250B0"/>
    <w:rsid w:val="00332CE4"/>
    <w:rsid w:val="00345D38"/>
    <w:rsid w:val="00346CE5"/>
    <w:rsid w:val="00347FE9"/>
    <w:rsid w:val="00356EC8"/>
    <w:rsid w:val="003631AA"/>
    <w:rsid w:val="003646DF"/>
    <w:rsid w:val="003728FE"/>
    <w:rsid w:val="0038751B"/>
    <w:rsid w:val="00387D4D"/>
    <w:rsid w:val="00391FBF"/>
    <w:rsid w:val="0039490F"/>
    <w:rsid w:val="003A0594"/>
    <w:rsid w:val="003A3355"/>
    <w:rsid w:val="003A485D"/>
    <w:rsid w:val="003B084B"/>
    <w:rsid w:val="003B0BBC"/>
    <w:rsid w:val="003B15C4"/>
    <w:rsid w:val="003B341A"/>
    <w:rsid w:val="003B738F"/>
    <w:rsid w:val="003C1A42"/>
    <w:rsid w:val="003C2C8C"/>
    <w:rsid w:val="003D6D29"/>
    <w:rsid w:val="003F030A"/>
    <w:rsid w:val="004006C5"/>
    <w:rsid w:val="00401265"/>
    <w:rsid w:val="0040480B"/>
    <w:rsid w:val="00410149"/>
    <w:rsid w:val="0041052E"/>
    <w:rsid w:val="00423167"/>
    <w:rsid w:val="00424DD7"/>
    <w:rsid w:val="00426536"/>
    <w:rsid w:val="00441856"/>
    <w:rsid w:val="00452D28"/>
    <w:rsid w:val="004562FB"/>
    <w:rsid w:val="00456ECB"/>
    <w:rsid w:val="00461E60"/>
    <w:rsid w:val="00470475"/>
    <w:rsid w:val="0047730D"/>
    <w:rsid w:val="004831F2"/>
    <w:rsid w:val="00490A4C"/>
    <w:rsid w:val="004A316F"/>
    <w:rsid w:val="004A46AB"/>
    <w:rsid w:val="004A4744"/>
    <w:rsid w:val="004A6441"/>
    <w:rsid w:val="004C2457"/>
    <w:rsid w:val="004C736E"/>
    <w:rsid w:val="004C7370"/>
    <w:rsid w:val="004E52ED"/>
    <w:rsid w:val="004F38D8"/>
    <w:rsid w:val="004F5C07"/>
    <w:rsid w:val="004F605A"/>
    <w:rsid w:val="00503983"/>
    <w:rsid w:val="00511201"/>
    <w:rsid w:val="00514D34"/>
    <w:rsid w:val="0051660D"/>
    <w:rsid w:val="00520BBB"/>
    <w:rsid w:val="005237D3"/>
    <w:rsid w:val="0054058D"/>
    <w:rsid w:val="005579FA"/>
    <w:rsid w:val="0056358C"/>
    <w:rsid w:val="00563AFB"/>
    <w:rsid w:val="00590D43"/>
    <w:rsid w:val="00597A15"/>
    <w:rsid w:val="005A52D9"/>
    <w:rsid w:val="005A707F"/>
    <w:rsid w:val="005B37C3"/>
    <w:rsid w:val="005C1A01"/>
    <w:rsid w:val="005C253E"/>
    <w:rsid w:val="005D3806"/>
    <w:rsid w:val="005D4898"/>
    <w:rsid w:val="005E535D"/>
    <w:rsid w:val="005E5ECE"/>
    <w:rsid w:val="005F4909"/>
    <w:rsid w:val="005F6AAB"/>
    <w:rsid w:val="00603DFF"/>
    <w:rsid w:val="00631162"/>
    <w:rsid w:val="00633329"/>
    <w:rsid w:val="00633FDF"/>
    <w:rsid w:val="0063738F"/>
    <w:rsid w:val="00653D4F"/>
    <w:rsid w:val="00660000"/>
    <w:rsid w:val="00663B35"/>
    <w:rsid w:val="00676F3D"/>
    <w:rsid w:val="00694701"/>
    <w:rsid w:val="006B56E3"/>
    <w:rsid w:val="006D14D6"/>
    <w:rsid w:val="006D1A3B"/>
    <w:rsid w:val="006F3BB4"/>
    <w:rsid w:val="00721399"/>
    <w:rsid w:val="007218D4"/>
    <w:rsid w:val="00723A8B"/>
    <w:rsid w:val="007240AD"/>
    <w:rsid w:val="00727AC9"/>
    <w:rsid w:val="0073011D"/>
    <w:rsid w:val="00732A52"/>
    <w:rsid w:val="007341AB"/>
    <w:rsid w:val="0073761E"/>
    <w:rsid w:val="00756B23"/>
    <w:rsid w:val="00761EE2"/>
    <w:rsid w:val="00767631"/>
    <w:rsid w:val="007703F5"/>
    <w:rsid w:val="00773383"/>
    <w:rsid w:val="00781682"/>
    <w:rsid w:val="007830D6"/>
    <w:rsid w:val="007837E1"/>
    <w:rsid w:val="007B0F38"/>
    <w:rsid w:val="007D2172"/>
    <w:rsid w:val="007F5143"/>
    <w:rsid w:val="0080256E"/>
    <w:rsid w:val="0081174B"/>
    <w:rsid w:val="008166B1"/>
    <w:rsid w:val="008167AD"/>
    <w:rsid w:val="00840A7F"/>
    <w:rsid w:val="008430B5"/>
    <w:rsid w:val="00844101"/>
    <w:rsid w:val="00861BD5"/>
    <w:rsid w:val="00863F89"/>
    <w:rsid w:val="00870738"/>
    <w:rsid w:val="008717A3"/>
    <w:rsid w:val="00872BF7"/>
    <w:rsid w:val="00873C27"/>
    <w:rsid w:val="00876E8D"/>
    <w:rsid w:val="00882429"/>
    <w:rsid w:val="00885626"/>
    <w:rsid w:val="00890881"/>
    <w:rsid w:val="008917DB"/>
    <w:rsid w:val="008925F5"/>
    <w:rsid w:val="00896550"/>
    <w:rsid w:val="008A599B"/>
    <w:rsid w:val="008A5BD0"/>
    <w:rsid w:val="008C0DA5"/>
    <w:rsid w:val="008D3440"/>
    <w:rsid w:val="008D559A"/>
    <w:rsid w:val="008E2DD9"/>
    <w:rsid w:val="008F6E28"/>
    <w:rsid w:val="008F7898"/>
    <w:rsid w:val="0090131C"/>
    <w:rsid w:val="009013A4"/>
    <w:rsid w:val="009026CD"/>
    <w:rsid w:val="009350C8"/>
    <w:rsid w:val="009355D9"/>
    <w:rsid w:val="009369A3"/>
    <w:rsid w:val="0094786F"/>
    <w:rsid w:val="0095621E"/>
    <w:rsid w:val="0096033D"/>
    <w:rsid w:val="009659C7"/>
    <w:rsid w:val="00974337"/>
    <w:rsid w:val="00977DD1"/>
    <w:rsid w:val="009849B0"/>
    <w:rsid w:val="009C762D"/>
    <w:rsid w:val="009D1C9E"/>
    <w:rsid w:val="009D5361"/>
    <w:rsid w:val="009D6F2F"/>
    <w:rsid w:val="009E6206"/>
    <w:rsid w:val="009F3926"/>
    <w:rsid w:val="00A006C5"/>
    <w:rsid w:val="00A01E59"/>
    <w:rsid w:val="00A07E78"/>
    <w:rsid w:val="00A17296"/>
    <w:rsid w:val="00A258F4"/>
    <w:rsid w:val="00A3342C"/>
    <w:rsid w:val="00A363BC"/>
    <w:rsid w:val="00A52870"/>
    <w:rsid w:val="00A64DBA"/>
    <w:rsid w:val="00A7358D"/>
    <w:rsid w:val="00A83F86"/>
    <w:rsid w:val="00A87BC2"/>
    <w:rsid w:val="00AB53CE"/>
    <w:rsid w:val="00AC6E5E"/>
    <w:rsid w:val="00AD1D07"/>
    <w:rsid w:val="00AE5D0B"/>
    <w:rsid w:val="00AF2D11"/>
    <w:rsid w:val="00AF6BF6"/>
    <w:rsid w:val="00AF7BFB"/>
    <w:rsid w:val="00B05C4C"/>
    <w:rsid w:val="00B33064"/>
    <w:rsid w:val="00B33B24"/>
    <w:rsid w:val="00B402B5"/>
    <w:rsid w:val="00B4218A"/>
    <w:rsid w:val="00B50753"/>
    <w:rsid w:val="00B62D44"/>
    <w:rsid w:val="00B658B5"/>
    <w:rsid w:val="00B85162"/>
    <w:rsid w:val="00B95D33"/>
    <w:rsid w:val="00B96619"/>
    <w:rsid w:val="00B97FB7"/>
    <w:rsid w:val="00BA4B10"/>
    <w:rsid w:val="00BB4131"/>
    <w:rsid w:val="00BB4454"/>
    <w:rsid w:val="00BC211B"/>
    <w:rsid w:val="00BE02EC"/>
    <w:rsid w:val="00BF1A38"/>
    <w:rsid w:val="00BF656B"/>
    <w:rsid w:val="00C03CB5"/>
    <w:rsid w:val="00C119DB"/>
    <w:rsid w:val="00C14346"/>
    <w:rsid w:val="00C171D7"/>
    <w:rsid w:val="00C31691"/>
    <w:rsid w:val="00C31F3F"/>
    <w:rsid w:val="00C31F7B"/>
    <w:rsid w:val="00C347BA"/>
    <w:rsid w:val="00C56F1A"/>
    <w:rsid w:val="00C6521A"/>
    <w:rsid w:val="00C66292"/>
    <w:rsid w:val="00C66438"/>
    <w:rsid w:val="00C72A4E"/>
    <w:rsid w:val="00C735FF"/>
    <w:rsid w:val="00C74BAB"/>
    <w:rsid w:val="00C86161"/>
    <w:rsid w:val="00C9350D"/>
    <w:rsid w:val="00C950F0"/>
    <w:rsid w:val="00C97070"/>
    <w:rsid w:val="00CA1BDC"/>
    <w:rsid w:val="00CA648E"/>
    <w:rsid w:val="00CB1EBD"/>
    <w:rsid w:val="00CC07FC"/>
    <w:rsid w:val="00CC1A25"/>
    <w:rsid w:val="00CC76A5"/>
    <w:rsid w:val="00CC77B5"/>
    <w:rsid w:val="00CD07B1"/>
    <w:rsid w:val="00CD4D05"/>
    <w:rsid w:val="00CE6802"/>
    <w:rsid w:val="00CF27C6"/>
    <w:rsid w:val="00D00F9B"/>
    <w:rsid w:val="00D10CBA"/>
    <w:rsid w:val="00D2422A"/>
    <w:rsid w:val="00D24FA8"/>
    <w:rsid w:val="00D40755"/>
    <w:rsid w:val="00D4461C"/>
    <w:rsid w:val="00D5743D"/>
    <w:rsid w:val="00D61935"/>
    <w:rsid w:val="00D66A48"/>
    <w:rsid w:val="00D66EB0"/>
    <w:rsid w:val="00D73AD6"/>
    <w:rsid w:val="00D83B7F"/>
    <w:rsid w:val="00D874DB"/>
    <w:rsid w:val="00D90A62"/>
    <w:rsid w:val="00D923A6"/>
    <w:rsid w:val="00D9286C"/>
    <w:rsid w:val="00D940F0"/>
    <w:rsid w:val="00DB0480"/>
    <w:rsid w:val="00DB2F08"/>
    <w:rsid w:val="00DB4A38"/>
    <w:rsid w:val="00DB52F9"/>
    <w:rsid w:val="00DB74BB"/>
    <w:rsid w:val="00DC1CF8"/>
    <w:rsid w:val="00DC3755"/>
    <w:rsid w:val="00DD26EC"/>
    <w:rsid w:val="00DD7D8B"/>
    <w:rsid w:val="00DE18D3"/>
    <w:rsid w:val="00DE37B3"/>
    <w:rsid w:val="00DE6CEC"/>
    <w:rsid w:val="00DF137C"/>
    <w:rsid w:val="00DF412D"/>
    <w:rsid w:val="00DF7207"/>
    <w:rsid w:val="00DF74B7"/>
    <w:rsid w:val="00E023B5"/>
    <w:rsid w:val="00E05E39"/>
    <w:rsid w:val="00E077D5"/>
    <w:rsid w:val="00E3226B"/>
    <w:rsid w:val="00E46999"/>
    <w:rsid w:val="00E46B7B"/>
    <w:rsid w:val="00E50C1A"/>
    <w:rsid w:val="00E612EC"/>
    <w:rsid w:val="00E7013B"/>
    <w:rsid w:val="00E72096"/>
    <w:rsid w:val="00E77A5B"/>
    <w:rsid w:val="00E77BD5"/>
    <w:rsid w:val="00E84059"/>
    <w:rsid w:val="00E8413C"/>
    <w:rsid w:val="00E94939"/>
    <w:rsid w:val="00E95A6C"/>
    <w:rsid w:val="00EA1600"/>
    <w:rsid w:val="00EA5B78"/>
    <w:rsid w:val="00EB68EB"/>
    <w:rsid w:val="00EC160A"/>
    <w:rsid w:val="00EC6AEA"/>
    <w:rsid w:val="00EE269D"/>
    <w:rsid w:val="00EE333D"/>
    <w:rsid w:val="00EF22FD"/>
    <w:rsid w:val="00EF2DE3"/>
    <w:rsid w:val="00EF69C2"/>
    <w:rsid w:val="00F01CD2"/>
    <w:rsid w:val="00F11055"/>
    <w:rsid w:val="00F11201"/>
    <w:rsid w:val="00F20C7A"/>
    <w:rsid w:val="00F40488"/>
    <w:rsid w:val="00F43C72"/>
    <w:rsid w:val="00F4687C"/>
    <w:rsid w:val="00F5008C"/>
    <w:rsid w:val="00F52E77"/>
    <w:rsid w:val="00F62F09"/>
    <w:rsid w:val="00F73296"/>
    <w:rsid w:val="00F94D11"/>
    <w:rsid w:val="00FA0331"/>
    <w:rsid w:val="00FA2630"/>
    <w:rsid w:val="00FB2ECE"/>
    <w:rsid w:val="00FD1ED4"/>
    <w:rsid w:val="00FD45C3"/>
    <w:rsid w:val="00FD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422A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pj">
    <w:name w:val="pj"/>
    <w:basedOn w:val="a"/>
    <w:rsid w:val="001A7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3226B"/>
  </w:style>
  <w:style w:type="character" w:customStyle="1" w:styleId="vl">
    <w:name w:val="vl"/>
    <w:basedOn w:val="a0"/>
    <w:rsid w:val="00025EF7"/>
  </w:style>
  <w:style w:type="paragraph" w:styleId="a4">
    <w:name w:val="Normal (Web)"/>
    <w:basedOn w:val="a"/>
    <w:uiPriority w:val="99"/>
    <w:semiHidden/>
    <w:unhideWhenUsed/>
    <w:rsid w:val="00A87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41052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F3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F3B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422A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pj">
    <w:name w:val="pj"/>
    <w:basedOn w:val="a"/>
    <w:rsid w:val="001A7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3226B"/>
  </w:style>
  <w:style w:type="character" w:customStyle="1" w:styleId="vl">
    <w:name w:val="vl"/>
    <w:basedOn w:val="a0"/>
    <w:rsid w:val="00025EF7"/>
  </w:style>
  <w:style w:type="paragraph" w:styleId="a4">
    <w:name w:val="Normal (Web)"/>
    <w:basedOn w:val="a"/>
    <w:uiPriority w:val="99"/>
    <w:semiHidden/>
    <w:unhideWhenUsed/>
    <w:rsid w:val="00A87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41052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F3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F3B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544828">
          <w:marLeft w:val="1875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74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16625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21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53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80736">
          <w:marLeft w:val="30"/>
          <w:marRight w:val="30"/>
          <w:marTop w:val="0"/>
          <w:marBottom w:val="150"/>
          <w:divBdr>
            <w:top w:val="single" w:sz="2" w:space="4" w:color="888888"/>
            <w:left w:val="single" w:sz="2" w:space="4" w:color="888888"/>
            <w:bottom w:val="single" w:sz="2" w:space="4" w:color="888888"/>
            <w:right w:val="single" w:sz="2" w:space="4" w:color="888888"/>
          </w:divBdr>
          <w:divsChild>
            <w:div w:id="1809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246751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126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64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424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0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5352">
          <w:marLeft w:val="30"/>
          <w:marRight w:val="30"/>
          <w:marTop w:val="0"/>
          <w:marBottom w:val="150"/>
          <w:divBdr>
            <w:top w:val="single" w:sz="2" w:space="4" w:color="888888"/>
            <w:left w:val="single" w:sz="2" w:space="4" w:color="888888"/>
            <w:bottom w:val="single" w:sz="2" w:space="4" w:color="888888"/>
            <w:right w:val="single" w:sz="2" w:space="4" w:color="888888"/>
          </w:divBdr>
          <w:divsChild>
            <w:div w:id="90233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25949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1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64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826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24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90435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7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07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2209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1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26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012098">
          <w:marLeft w:val="30"/>
          <w:marRight w:val="30"/>
          <w:marTop w:val="0"/>
          <w:marBottom w:val="150"/>
          <w:divBdr>
            <w:top w:val="single" w:sz="2" w:space="4" w:color="888888"/>
            <w:left w:val="single" w:sz="2" w:space="4" w:color="888888"/>
            <w:bottom w:val="single" w:sz="2" w:space="4" w:color="888888"/>
            <w:right w:val="single" w:sz="2" w:space="4" w:color="888888"/>
          </w:divBdr>
          <w:divsChild>
            <w:div w:id="156710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205306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18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54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50700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39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70527">
          <w:marLeft w:val="480"/>
          <w:marRight w:val="480"/>
          <w:marTop w:val="240"/>
          <w:marBottom w:val="240"/>
          <w:divBdr>
            <w:top w:val="single" w:sz="6" w:space="12" w:color="DDDDDD"/>
            <w:left w:val="single" w:sz="6" w:space="12" w:color="DDDDDD"/>
            <w:bottom w:val="single" w:sz="6" w:space="12" w:color="DDDDDD"/>
            <w:right w:val="single" w:sz="6" w:space="12" w:color="DDDDDD"/>
          </w:divBdr>
          <w:divsChild>
            <w:div w:id="63892256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874258">
          <w:marLeft w:val="480"/>
          <w:marRight w:val="480"/>
          <w:marTop w:val="240"/>
          <w:marBottom w:val="240"/>
          <w:divBdr>
            <w:top w:val="single" w:sz="6" w:space="12" w:color="DDDDDD"/>
            <w:left w:val="single" w:sz="6" w:space="12" w:color="DDDDDD"/>
            <w:bottom w:val="single" w:sz="6" w:space="12" w:color="DDDDDD"/>
            <w:right w:val="single" w:sz="6" w:space="12" w:color="DDDDDD"/>
          </w:divBdr>
          <w:divsChild>
            <w:div w:id="125929003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183550">
          <w:marLeft w:val="0"/>
          <w:marRight w:val="1800"/>
          <w:marTop w:val="0"/>
          <w:marBottom w:val="0"/>
          <w:divBdr>
            <w:top w:val="single" w:sz="6" w:space="0" w:color="80808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8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364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95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53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12227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8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540790">
          <w:marLeft w:val="480"/>
          <w:marRight w:val="480"/>
          <w:marTop w:val="240"/>
          <w:marBottom w:val="240"/>
          <w:divBdr>
            <w:top w:val="single" w:sz="6" w:space="12" w:color="DDDDDD"/>
            <w:left w:val="single" w:sz="6" w:space="12" w:color="DDDDDD"/>
            <w:bottom w:val="single" w:sz="6" w:space="12" w:color="DDDDDD"/>
            <w:right w:val="single" w:sz="6" w:space="12" w:color="DDDDDD"/>
          </w:divBdr>
          <w:divsChild>
            <w:div w:id="33622890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82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8297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29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781943">
          <w:marLeft w:val="480"/>
          <w:marRight w:val="480"/>
          <w:marTop w:val="240"/>
          <w:marBottom w:val="240"/>
          <w:divBdr>
            <w:top w:val="single" w:sz="6" w:space="12" w:color="DDDDDD"/>
            <w:left w:val="single" w:sz="6" w:space="12" w:color="DDDDDD"/>
            <w:bottom w:val="single" w:sz="6" w:space="12" w:color="DDDDDD"/>
            <w:right w:val="single" w:sz="6" w:space="12" w:color="DDDDDD"/>
          </w:divBdr>
          <w:divsChild>
            <w:div w:id="35608030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0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161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8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00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0175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4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520520">
          <w:marLeft w:val="480"/>
          <w:marRight w:val="480"/>
          <w:marTop w:val="240"/>
          <w:marBottom w:val="240"/>
          <w:divBdr>
            <w:top w:val="single" w:sz="6" w:space="12" w:color="DDDDDD"/>
            <w:left w:val="single" w:sz="6" w:space="12" w:color="DDDDDD"/>
            <w:bottom w:val="single" w:sz="6" w:space="12" w:color="DDDDDD"/>
            <w:right w:val="single" w:sz="6" w:space="12" w:color="DDDDDD"/>
          </w:divBdr>
          <w:divsChild>
            <w:div w:id="79961501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9.7845338103494592E-2"/>
          <c:y val="7.7674995837744482E-2"/>
          <c:w val="0.61967968922645011"/>
          <c:h val="0.73154642488787969"/>
        </c:manualLayout>
      </c:layout>
      <c:lineChart>
        <c:grouping val="standard"/>
        <c:varyColors val="0"/>
        <c:ser>
          <c:idx val="0"/>
          <c:order val="0"/>
          <c:marker>
            <c:symbol val="none"/>
          </c:marker>
          <c:cat>
            <c:strRef>
              <c:f>КОНТР!$C$7:$C$372</c:f>
              <c:strCache>
                <c:ptCount val="366"/>
                <c:pt idx="0">
                  <c:v>01.янв</c:v>
                </c:pt>
                <c:pt idx="1">
                  <c:v>02.янв</c:v>
                </c:pt>
                <c:pt idx="2">
                  <c:v>03.янв</c:v>
                </c:pt>
                <c:pt idx="3">
                  <c:v>04.янв</c:v>
                </c:pt>
                <c:pt idx="4">
                  <c:v>05.янв</c:v>
                </c:pt>
                <c:pt idx="5">
                  <c:v>06.янв</c:v>
                </c:pt>
                <c:pt idx="6">
                  <c:v>07.янв</c:v>
                </c:pt>
                <c:pt idx="7">
                  <c:v>08.янв</c:v>
                </c:pt>
                <c:pt idx="8">
                  <c:v>09.янв</c:v>
                </c:pt>
                <c:pt idx="9">
                  <c:v>10.янв</c:v>
                </c:pt>
                <c:pt idx="10">
                  <c:v>11.янв</c:v>
                </c:pt>
                <c:pt idx="11">
                  <c:v>12.янв</c:v>
                </c:pt>
                <c:pt idx="12">
                  <c:v>13.янв</c:v>
                </c:pt>
                <c:pt idx="13">
                  <c:v>14.янв</c:v>
                </c:pt>
                <c:pt idx="14">
                  <c:v>15.янв</c:v>
                </c:pt>
                <c:pt idx="15">
                  <c:v>16.янв</c:v>
                </c:pt>
                <c:pt idx="16">
                  <c:v>17.янв</c:v>
                </c:pt>
                <c:pt idx="17">
                  <c:v>18.янв</c:v>
                </c:pt>
                <c:pt idx="18">
                  <c:v>19.янв</c:v>
                </c:pt>
                <c:pt idx="19">
                  <c:v>20.янв</c:v>
                </c:pt>
                <c:pt idx="20">
                  <c:v>21.янв</c:v>
                </c:pt>
                <c:pt idx="21">
                  <c:v>22.янв</c:v>
                </c:pt>
                <c:pt idx="22">
                  <c:v>23.янв</c:v>
                </c:pt>
                <c:pt idx="23">
                  <c:v>24.янв</c:v>
                </c:pt>
                <c:pt idx="24">
                  <c:v>25.янв</c:v>
                </c:pt>
                <c:pt idx="25">
                  <c:v>26.янв</c:v>
                </c:pt>
                <c:pt idx="26">
                  <c:v>27.янв</c:v>
                </c:pt>
                <c:pt idx="27">
                  <c:v>28.янв</c:v>
                </c:pt>
                <c:pt idx="28">
                  <c:v>29.янв</c:v>
                </c:pt>
                <c:pt idx="29">
                  <c:v>30.янв</c:v>
                </c:pt>
                <c:pt idx="30">
                  <c:v>31.янв</c:v>
                </c:pt>
                <c:pt idx="31">
                  <c:v>01.фев</c:v>
                </c:pt>
                <c:pt idx="32">
                  <c:v>02.фев</c:v>
                </c:pt>
                <c:pt idx="33">
                  <c:v>03.фев</c:v>
                </c:pt>
                <c:pt idx="34">
                  <c:v>04.фев</c:v>
                </c:pt>
                <c:pt idx="35">
                  <c:v>05.фев</c:v>
                </c:pt>
                <c:pt idx="36">
                  <c:v>06.фев</c:v>
                </c:pt>
                <c:pt idx="37">
                  <c:v>07.фев</c:v>
                </c:pt>
                <c:pt idx="38">
                  <c:v>08.фев</c:v>
                </c:pt>
                <c:pt idx="39">
                  <c:v>09.фев</c:v>
                </c:pt>
                <c:pt idx="40">
                  <c:v>10.фев</c:v>
                </c:pt>
                <c:pt idx="41">
                  <c:v>11.фев</c:v>
                </c:pt>
                <c:pt idx="42">
                  <c:v>12.фев</c:v>
                </c:pt>
                <c:pt idx="43">
                  <c:v>13.фев</c:v>
                </c:pt>
                <c:pt idx="44">
                  <c:v>14.фев</c:v>
                </c:pt>
                <c:pt idx="45">
                  <c:v>15.фев</c:v>
                </c:pt>
                <c:pt idx="46">
                  <c:v>16.фев</c:v>
                </c:pt>
                <c:pt idx="47">
                  <c:v>17.фев</c:v>
                </c:pt>
                <c:pt idx="48">
                  <c:v>18.фев</c:v>
                </c:pt>
                <c:pt idx="49">
                  <c:v>19.фев</c:v>
                </c:pt>
                <c:pt idx="50">
                  <c:v>20.фев</c:v>
                </c:pt>
                <c:pt idx="51">
                  <c:v>21.фев</c:v>
                </c:pt>
                <c:pt idx="52">
                  <c:v>22.фев</c:v>
                </c:pt>
                <c:pt idx="53">
                  <c:v>23.фев</c:v>
                </c:pt>
                <c:pt idx="54">
                  <c:v>24.фев</c:v>
                </c:pt>
                <c:pt idx="55">
                  <c:v>25.фев</c:v>
                </c:pt>
                <c:pt idx="56">
                  <c:v>26.фев</c:v>
                </c:pt>
                <c:pt idx="57">
                  <c:v>27.фев</c:v>
                </c:pt>
                <c:pt idx="58">
                  <c:v>28.фев</c:v>
                </c:pt>
                <c:pt idx="59">
                  <c:v>29.фев</c:v>
                </c:pt>
                <c:pt idx="60">
                  <c:v>01.мар</c:v>
                </c:pt>
                <c:pt idx="61">
                  <c:v>02.мар</c:v>
                </c:pt>
                <c:pt idx="62">
                  <c:v>03.мар</c:v>
                </c:pt>
                <c:pt idx="63">
                  <c:v>04.мар</c:v>
                </c:pt>
                <c:pt idx="64">
                  <c:v>05.мар</c:v>
                </c:pt>
                <c:pt idx="65">
                  <c:v>06.мар</c:v>
                </c:pt>
                <c:pt idx="66">
                  <c:v>07.мар</c:v>
                </c:pt>
                <c:pt idx="67">
                  <c:v>08.мар</c:v>
                </c:pt>
                <c:pt idx="68">
                  <c:v>09.мар</c:v>
                </c:pt>
                <c:pt idx="69">
                  <c:v>10.мар</c:v>
                </c:pt>
                <c:pt idx="70">
                  <c:v>11.мар</c:v>
                </c:pt>
                <c:pt idx="71">
                  <c:v>12.мар</c:v>
                </c:pt>
                <c:pt idx="72">
                  <c:v>13.мар</c:v>
                </c:pt>
                <c:pt idx="73">
                  <c:v>14.мар</c:v>
                </c:pt>
                <c:pt idx="74">
                  <c:v>15.мар</c:v>
                </c:pt>
                <c:pt idx="75">
                  <c:v>16.мар</c:v>
                </c:pt>
                <c:pt idx="76">
                  <c:v>17.мар</c:v>
                </c:pt>
                <c:pt idx="77">
                  <c:v>18.мар</c:v>
                </c:pt>
                <c:pt idx="78">
                  <c:v>19.мар</c:v>
                </c:pt>
                <c:pt idx="79">
                  <c:v>20.мар</c:v>
                </c:pt>
                <c:pt idx="80">
                  <c:v>21.мар</c:v>
                </c:pt>
                <c:pt idx="81">
                  <c:v>22.мар</c:v>
                </c:pt>
                <c:pt idx="82">
                  <c:v>23.мар</c:v>
                </c:pt>
                <c:pt idx="83">
                  <c:v>24.мар</c:v>
                </c:pt>
                <c:pt idx="84">
                  <c:v>25.мар</c:v>
                </c:pt>
                <c:pt idx="85">
                  <c:v>26.мар</c:v>
                </c:pt>
                <c:pt idx="86">
                  <c:v>27.мар</c:v>
                </c:pt>
                <c:pt idx="87">
                  <c:v>28.мар</c:v>
                </c:pt>
                <c:pt idx="88">
                  <c:v>29.мар</c:v>
                </c:pt>
                <c:pt idx="89">
                  <c:v>30.мар</c:v>
                </c:pt>
                <c:pt idx="90">
                  <c:v>31.мар</c:v>
                </c:pt>
                <c:pt idx="91">
                  <c:v>01.апр</c:v>
                </c:pt>
                <c:pt idx="92">
                  <c:v>02.апр</c:v>
                </c:pt>
                <c:pt idx="93">
                  <c:v>03.апр</c:v>
                </c:pt>
                <c:pt idx="94">
                  <c:v>04.апр</c:v>
                </c:pt>
                <c:pt idx="95">
                  <c:v>05.апр</c:v>
                </c:pt>
                <c:pt idx="96">
                  <c:v>06.апр</c:v>
                </c:pt>
                <c:pt idx="97">
                  <c:v>07.апр</c:v>
                </c:pt>
                <c:pt idx="98">
                  <c:v>08.апр</c:v>
                </c:pt>
                <c:pt idx="99">
                  <c:v>09.апр</c:v>
                </c:pt>
                <c:pt idx="100">
                  <c:v>10.апр</c:v>
                </c:pt>
                <c:pt idx="101">
                  <c:v>11.апр</c:v>
                </c:pt>
                <c:pt idx="102">
                  <c:v>12.апр</c:v>
                </c:pt>
                <c:pt idx="103">
                  <c:v>13.апр</c:v>
                </c:pt>
                <c:pt idx="104">
                  <c:v>14.апр</c:v>
                </c:pt>
                <c:pt idx="105">
                  <c:v>15.апр</c:v>
                </c:pt>
                <c:pt idx="106">
                  <c:v>16.апр</c:v>
                </c:pt>
                <c:pt idx="107">
                  <c:v>17.апр</c:v>
                </c:pt>
                <c:pt idx="108">
                  <c:v>18.апр</c:v>
                </c:pt>
                <c:pt idx="109">
                  <c:v>19.апр</c:v>
                </c:pt>
                <c:pt idx="110">
                  <c:v>20.апр</c:v>
                </c:pt>
                <c:pt idx="111">
                  <c:v>21.апр</c:v>
                </c:pt>
                <c:pt idx="112">
                  <c:v>22.апр</c:v>
                </c:pt>
                <c:pt idx="113">
                  <c:v>23.апр</c:v>
                </c:pt>
                <c:pt idx="114">
                  <c:v>24.апр</c:v>
                </c:pt>
                <c:pt idx="115">
                  <c:v>25.апр</c:v>
                </c:pt>
                <c:pt idx="116">
                  <c:v>26.апр</c:v>
                </c:pt>
                <c:pt idx="117">
                  <c:v>27.апр</c:v>
                </c:pt>
                <c:pt idx="118">
                  <c:v>28.апр</c:v>
                </c:pt>
                <c:pt idx="119">
                  <c:v>29.апр</c:v>
                </c:pt>
                <c:pt idx="120">
                  <c:v>30.апр</c:v>
                </c:pt>
                <c:pt idx="121">
                  <c:v>01.май</c:v>
                </c:pt>
                <c:pt idx="122">
                  <c:v>02.май</c:v>
                </c:pt>
                <c:pt idx="123">
                  <c:v>03.май</c:v>
                </c:pt>
                <c:pt idx="124">
                  <c:v>04.май</c:v>
                </c:pt>
                <c:pt idx="125">
                  <c:v>05.май</c:v>
                </c:pt>
                <c:pt idx="126">
                  <c:v>06.май</c:v>
                </c:pt>
                <c:pt idx="127">
                  <c:v>07.май</c:v>
                </c:pt>
                <c:pt idx="128">
                  <c:v>08.май</c:v>
                </c:pt>
                <c:pt idx="129">
                  <c:v>09.май</c:v>
                </c:pt>
                <c:pt idx="130">
                  <c:v>10.май</c:v>
                </c:pt>
                <c:pt idx="131">
                  <c:v>11.май</c:v>
                </c:pt>
                <c:pt idx="132">
                  <c:v>12.май</c:v>
                </c:pt>
                <c:pt idx="133">
                  <c:v>13.май</c:v>
                </c:pt>
                <c:pt idx="134">
                  <c:v>14.май</c:v>
                </c:pt>
                <c:pt idx="135">
                  <c:v>15.май</c:v>
                </c:pt>
                <c:pt idx="136">
                  <c:v>16.май</c:v>
                </c:pt>
                <c:pt idx="137">
                  <c:v>17.май</c:v>
                </c:pt>
                <c:pt idx="138">
                  <c:v>18.май</c:v>
                </c:pt>
                <c:pt idx="139">
                  <c:v>19.май</c:v>
                </c:pt>
                <c:pt idx="140">
                  <c:v>20.май</c:v>
                </c:pt>
                <c:pt idx="141">
                  <c:v>21.май</c:v>
                </c:pt>
                <c:pt idx="142">
                  <c:v>22.май</c:v>
                </c:pt>
                <c:pt idx="143">
                  <c:v>23.май</c:v>
                </c:pt>
                <c:pt idx="144">
                  <c:v>24.май</c:v>
                </c:pt>
                <c:pt idx="145">
                  <c:v>25.май</c:v>
                </c:pt>
                <c:pt idx="146">
                  <c:v>26.май</c:v>
                </c:pt>
                <c:pt idx="147">
                  <c:v>27.май</c:v>
                </c:pt>
                <c:pt idx="148">
                  <c:v>28.май</c:v>
                </c:pt>
                <c:pt idx="149">
                  <c:v>29.май</c:v>
                </c:pt>
                <c:pt idx="150">
                  <c:v>30.май</c:v>
                </c:pt>
                <c:pt idx="151">
                  <c:v>31.май</c:v>
                </c:pt>
                <c:pt idx="152">
                  <c:v>01.июн</c:v>
                </c:pt>
                <c:pt idx="153">
                  <c:v>02.июн</c:v>
                </c:pt>
                <c:pt idx="154">
                  <c:v>03.июн</c:v>
                </c:pt>
                <c:pt idx="155">
                  <c:v>04.июн</c:v>
                </c:pt>
                <c:pt idx="156">
                  <c:v>05.июн</c:v>
                </c:pt>
                <c:pt idx="157">
                  <c:v>06.июн</c:v>
                </c:pt>
                <c:pt idx="158">
                  <c:v>07.июн</c:v>
                </c:pt>
                <c:pt idx="159">
                  <c:v>08.июн</c:v>
                </c:pt>
                <c:pt idx="160">
                  <c:v>09.июн</c:v>
                </c:pt>
                <c:pt idx="161">
                  <c:v>10.июн</c:v>
                </c:pt>
                <c:pt idx="162">
                  <c:v>11.июн</c:v>
                </c:pt>
                <c:pt idx="163">
                  <c:v>12.июн</c:v>
                </c:pt>
                <c:pt idx="164">
                  <c:v>13.июн</c:v>
                </c:pt>
                <c:pt idx="165">
                  <c:v>14.июн</c:v>
                </c:pt>
                <c:pt idx="166">
                  <c:v>15.июн</c:v>
                </c:pt>
                <c:pt idx="167">
                  <c:v>16.июн</c:v>
                </c:pt>
                <c:pt idx="168">
                  <c:v>17.июн</c:v>
                </c:pt>
                <c:pt idx="169">
                  <c:v>18.июн</c:v>
                </c:pt>
                <c:pt idx="170">
                  <c:v>19.июн</c:v>
                </c:pt>
                <c:pt idx="171">
                  <c:v>20.июн</c:v>
                </c:pt>
                <c:pt idx="172">
                  <c:v>21.июн</c:v>
                </c:pt>
                <c:pt idx="173">
                  <c:v>22.июн</c:v>
                </c:pt>
                <c:pt idx="174">
                  <c:v>23.июн</c:v>
                </c:pt>
                <c:pt idx="175">
                  <c:v>24.июн</c:v>
                </c:pt>
                <c:pt idx="176">
                  <c:v>25.июн</c:v>
                </c:pt>
                <c:pt idx="177">
                  <c:v>26.июн</c:v>
                </c:pt>
                <c:pt idx="178">
                  <c:v>27.июн</c:v>
                </c:pt>
                <c:pt idx="179">
                  <c:v>28.июн</c:v>
                </c:pt>
                <c:pt idx="180">
                  <c:v>29.июн</c:v>
                </c:pt>
                <c:pt idx="181">
                  <c:v>30.июн</c:v>
                </c:pt>
                <c:pt idx="182">
                  <c:v>01.июл</c:v>
                </c:pt>
                <c:pt idx="183">
                  <c:v>02.июл</c:v>
                </c:pt>
                <c:pt idx="184">
                  <c:v>03.июл</c:v>
                </c:pt>
                <c:pt idx="185">
                  <c:v>04.июл</c:v>
                </c:pt>
                <c:pt idx="186">
                  <c:v>05.июл</c:v>
                </c:pt>
                <c:pt idx="187">
                  <c:v>06.июл</c:v>
                </c:pt>
                <c:pt idx="188">
                  <c:v>07.июл</c:v>
                </c:pt>
                <c:pt idx="189">
                  <c:v>08.июл</c:v>
                </c:pt>
                <c:pt idx="190">
                  <c:v>09.июл</c:v>
                </c:pt>
                <c:pt idx="191">
                  <c:v>10.июл</c:v>
                </c:pt>
                <c:pt idx="192">
                  <c:v>11.июл</c:v>
                </c:pt>
                <c:pt idx="193">
                  <c:v>12.июл</c:v>
                </c:pt>
                <c:pt idx="194">
                  <c:v>13.июл</c:v>
                </c:pt>
                <c:pt idx="195">
                  <c:v>14.июл</c:v>
                </c:pt>
                <c:pt idx="196">
                  <c:v>15.июл</c:v>
                </c:pt>
                <c:pt idx="197">
                  <c:v>16.июл</c:v>
                </c:pt>
                <c:pt idx="198">
                  <c:v>17.июл</c:v>
                </c:pt>
                <c:pt idx="199">
                  <c:v>18.июл</c:v>
                </c:pt>
                <c:pt idx="200">
                  <c:v>19.июл</c:v>
                </c:pt>
                <c:pt idx="201">
                  <c:v>20.июл</c:v>
                </c:pt>
                <c:pt idx="202">
                  <c:v>21.июл</c:v>
                </c:pt>
                <c:pt idx="203">
                  <c:v>22.июл</c:v>
                </c:pt>
                <c:pt idx="204">
                  <c:v>23.июл</c:v>
                </c:pt>
                <c:pt idx="205">
                  <c:v>24.июл</c:v>
                </c:pt>
                <c:pt idx="206">
                  <c:v>25.июл</c:v>
                </c:pt>
                <c:pt idx="207">
                  <c:v>26.июл</c:v>
                </c:pt>
                <c:pt idx="208">
                  <c:v>27.июл</c:v>
                </c:pt>
                <c:pt idx="209">
                  <c:v>28.июл</c:v>
                </c:pt>
                <c:pt idx="210">
                  <c:v>29.июл</c:v>
                </c:pt>
                <c:pt idx="211">
                  <c:v>30.июл</c:v>
                </c:pt>
                <c:pt idx="212">
                  <c:v>31.июл</c:v>
                </c:pt>
                <c:pt idx="213">
                  <c:v>01.авг</c:v>
                </c:pt>
                <c:pt idx="214">
                  <c:v>02.авг</c:v>
                </c:pt>
                <c:pt idx="215">
                  <c:v>03.авг</c:v>
                </c:pt>
                <c:pt idx="216">
                  <c:v>04.авг</c:v>
                </c:pt>
                <c:pt idx="217">
                  <c:v>05.авг</c:v>
                </c:pt>
                <c:pt idx="218">
                  <c:v>06.авг</c:v>
                </c:pt>
                <c:pt idx="219">
                  <c:v>07.авг</c:v>
                </c:pt>
                <c:pt idx="220">
                  <c:v>08.авг</c:v>
                </c:pt>
                <c:pt idx="221">
                  <c:v>09.авг</c:v>
                </c:pt>
                <c:pt idx="222">
                  <c:v>10.авг</c:v>
                </c:pt>
                <c:pt idx="223">
                  <c:v>11.авг</c:v>
                </c:pt>
                <c:pt idx="224">
                  <c:v>12.авг</c:v>
                </c:pt>
                <c:pt idx="225">
                  <c:v>13.авг</c:v>
                </c:pt>
                <c:pt idx="226">
                  <c:v>14.авг</c:v>
                </c:pt>
                <c:pt idx="227">
                  <c:v>15.авг</c:v>
                </c:pt>
                <c:pt idx="228">
                  <c:v>16.авг</c:v>
                </c:pt>
                <c:pt idx="229">
                  <c:v>17.авг</c:v>
                </c:pt>
                <c:pt idx="230">
                  <c:v>18.авг</c:v>
                </c:pt>
                <c:pt idx="231">
                  <c:v>19.авг</c:v>
                </c:pt>
                <c:pt idx="232">
                  <c:v>20.авг</c:v>
                </c:pt>
                <c:pt idx="233">
                  <c:v>21.авг</c:v>
                </c:pt>
                <c:pt idx="234">
                  <c:v>22.авг</c:v>
                </c:pt>
                <c:pt idx="235">
                  <c:v>23.авг</c:v>
                </c:pt>
                <c:pt idx="236">
                  <c:v>24.авг</c:v>
                </c:pt>
                <c:pt idx="237">
                  <c:v>25.авг</c:v>
                </c:pt>
                <c:pt idx="238">
                  <c:v>26.авг</c:v>
                </c:pt>
                <c:pt idx="239">
                  <c:v>27.авг</c:v>
                </c:pt>
                <c:pt idx="240">
                  <c:v>28.авг</c:v>
                </c:pt>
                <c:pt idx="241">
                  <c:v>29.авг</c:v>
                </c:pt>
                <c:pt idx="242">
                  <c:v>30.авг</c:v>
                </c:pt>
                <c:pt idx="243">
                  <c:v>31.авг</c:v>
                </c:pt>
                <c:pt idx="244">
                  <c:v>01.сен</c:v>
                </c:pt>
                <c:pt idx="245">
                  <c:v>02.сен</c:v>
                </c:pt>
                <c:pt idx="246">
                  <c:v>03.сен</c:v>
                </c:pt>
                <c:pt idx="247">
                  <c:v>04.сен</c:v>
                </c:pt>
                <c:pt idx="248">
                  <c:v>05.сен</c:v>
                </c:pt>
                <c:pt idx="249">
                  <c:v>06.сен</c:v>
                </c:pt>
                <c:pt idx="250">
                  <c:v>07.сен</c:v>
                </c:pt>
                <c:pt idx="251">
                  <c:v>08.сен</c:v>
                </c:pt>
                <c:pt idx="252">
                  <c:v>09.сен</c:v>
                </c:pt>
                <c:pt idx="253">
                  <c:v>10.сен</c:v>
                </c:pt>
                <c:pt idx="254">
                  <c:v>11.сен</c:v>
                </c:pt>
                <c:pt idx="255">
                  <c:v>12.сен</c:v>
                </c:pt>
                <c:pt idx="256">
                  <c:v>13.сен</c:v>
                </c:pt>
                <c:pt idx="257">
                  <c:v>14.сен</c:v>
                </c:pt>
                <c:pt idx="258">
                  <c:v>15.сен</c:v>
                </c:pt>
                <c:pt idx="259">
                  <c:v>16.сен</c:v>
                </c:pt>
                <c:pt idx="260">
                  <c:v>17.сен</c:v>
                </c:pt>
                <c:pt idx="261">
                  <c:v>18.сен</c:v>
                </c:pt>
                <c:pt idx="262">
                  <c:v>19.сен</c:v>
                </c:pt>
                <c:pt idx="263">
                  <c:v>20.сен</c:v>
                </c:pt>
                <c:pt idx="264">
                  <c:v>21.сен</c:v>
                </c:pt>
                <c:pt idx="265">
                  <c:v>22.сен</c:v>
                </c:pt>
                <c:pt idx="266">
                  <c:v>23.сен</c:v>
                </c:pt>
                <c:pt idx="267">
                  <c:v>24.сен</c:v>
                </c:pt>
                <c:pt idx="268">
                  <c:v>25.сен</c:v>
                </c:pt>
                <c:pt idx="269">
                  <c:v>26.сен</c:v>
                </c:pt>
                <c:pt idx="270">
                  <c:v>27.сен</c:v>
                </c:pt>
                <c:pt idx="271">
                  <c:v>28.сен</c:v>
                </c:pt>
                <c:pt idx="272">
                  <c:v>29.сен</c:v>
                </c:pt>
                <c:pt idx="273">
                  <c:v>30.сен</c:v>
                </c:pt>
                <c:pt idx="274">
                  <c:v>01.окт</c:v>
                </c:pt>
                <c:pt idx="275">
                  <c:v>02.окт</c:v>
                </c:pt>
                <c:pt idx="276">
                  <c:v>03.окт</c:v>
                </c:pt>
                <c:pt idx="277">
                  <c:v>04.окт</c:v>
                </c:pt>
                <c:pt idx="278">
                  <c:v>05.окт</c:v>
                </c:pt>
                <c:pt idx="279">
                  <c:v>06.окт</c:v>
                </c:pt>
                <c:pt idx="280">
                  <c:v>07.окт</c:v>
                </c:pt>
                <c:pt idx="281">
                  <c:v>08.окт</c:v>
                </c:pt>
                <c:pt idx="282">
                  <c:v>09.окт</c:v>
                </c:pt>
                <c:pt idx="283">
                  <c:v>10.окт</c:v>
                </c:pt>
                <c:pt idx="284">
                  <c:v>11.окт</c:v>
                </c:pt>
                <c:pt idx="285">
                  <c:v>12.окт</c:v>
                </c:pt>
                <c:pt idx="286">
                  <c:v>13.окт</c:v>
                </c:pt>
                <c:pt idx="287">
                  <c:v>14.окт</c:v>
                </c:pt>
                <c:pt idx="288">
                  <c:v>15.окт</c:v>
                </c:pt>
                <c:pt idx="289">
                  <c:v>16.окт</c:v>
                </c:pt>
                <c:pt idx="290">
                  <c:v>17.окт</c:v>
                </c:pt>
                <c:pt idx="291">
                  <c:v>18.окт</c:v>
                </c:pt>
                <c:pt idx="292">
                  <c:v>19.окт</c:v>
                </c:pt>
                <c:pt idx="293">
                  <c:v>20.окт</c:v>
                </c:pt>
                <c:pt idx="294">
                  <c:v>21.окт</c:v>
                </c:pt>
                <c:pt idx="295">
                  <c:v>22.окт</c:v>
                </c:pt>
                <c:pt idx="296">
                  <c:v>23.окт</c:v>
                </c:pt>
                <c:pt idx="297">
                  <c:v>24.окт</c:v>
                </c:pt>
                <c:pt idx="298">
                  <c:v>25.окт</c:v>
                </c:pt>
                <c:pt idx="299">
                  <c:v>26.окт</c:v>
                </c:pt>
                <c:pt idx="300">
                  <c:v>27.окт</c:v>
                </c:pt>
                <c:pt idx="301">
                  <c:v>28.окт</c:v>
                </c:pt>
                <c:pt idx="302">
                  <c:v>29.окт</c:v>
                </c:pt>
                <c:pt idx="303">
                  <c:v>30.окт</c:v>
                </c:pt>
                <c:pt idx="304">
                  <c:v>31.окт</c:v>
                </c:pt>
                <c:pt idx="305">
                  <c:v>01.ноя</c:v>
                </c:pt>
                <c:pt idx="306">
                  <c:v>02.ноя</c:v>
                </c:pt>
                <c:pt idx="307">
                  <c:v>03.ноя</c:v>
                </c:pt>
                <c:pt idx="308">
                  <c:v>04.ноя</c:v>
                </c:pt>
                <c:pt idx="309">
                  <c:v>05.ноя</c:v>
                </c:pt>
                <c:pt idx="310">
                  <c:v>06.ноя</c:v>
                </c:pt>
                <c:pt idx="311">
                  <c:v>07.ноя</c:v>
                </c:pt>
                <c:pt idx="312">
                  <c:v>08.ноя</c:v>
                </c:pt>
                <c:pt idx="313">
                  <c:v>09.ноя</c:v>
                </c:pt>
                <c:pt idx="314">
                  <c:v>10.ноя</c:v>
                </c:pt>
                <c:pt idx="315">
                  <c:v>11.ноя</c:v>
                </c:pt>
                <c:pt idx="316">
                  <c:v>12.ноя</c:v>
                </c:pt>
                <c:pt idx="317">
                  <c:v>13.ноя</c:v>
                </c:pt>
                <c:pt idx="318">
                  <c:v>14.ноя</c:v>
                </c:pt>
                <c:pt idx="319">
                  <c:v>15.ноя</c:v>
                </c:pt>
                <c:pt idx="320">
                  <c:v>16.ноя</c:v>
                </c:pt>
                <c:pt idx="321">
                  <c:v>17.ноя</c:v>
                </c:pt>
                <c:pt idx="322">
                  <c:v>18.ноя</c:v>
                </c:pt>
                <c:pt idx="323">
                  <c:v>19.ноя</c:v>
                </c:pt>
                <c:pt idx="324">
                  <c:v>20.ноя</c:v>
                </c:pt>
                <c:pt idx="325">
                  <c:v>21.ноя</c:v>
                </c:pt>
                <c:pt idx="326">
                  <c:v>22.ноя</c:v>
                </c:pt>
                <c:pt idx="327">
                  <c:v>23.ноя</c:v>
                </c:pt>
                <c:pt idx="328">
                  <c:v>24.ноя</c:v>
                </c:pt>
                <c:pt idx="329">
                  <c:v>25.ноя</c:v>
                </c:pt>
                <c:pt idx="330">
                  <c:v>26.ноя</c:v>
                </c:pt>
                <c:pt idx="331">
                  <c:v>27.ноя</c:v>
                </c:pt>
                <c:pt idx="332">
                  <c:v>28.ноя</c:v>
                </c:pt>
                <c:pt idx="333">
                  <c:v>29.ноя</c:v>
                </c:pt>
                <c:pt idx="334">
                  <c:v>30.ноя</c:v>
                </c:pt>
                <c:pt idx="335">
                  <c:v>01.дек</c:v>
                </c:pt>
                <c:pt idx="336">
                  <c:v>02.дек</c:v>
                </c:pt>
                <c:pt idx="337">
                  <c:v>03.дек</c:v>
                </c:pt>
                <c:pt idx="338">
                  <c:v>04.дек</c:v>
                </c:pt>
                <c:pt idx="339">
                  <c:v>05.дек</c:v>
                </c:pt>
                <c:pt idx="340">
                  <c:v>06.дек</c:v>
                </c:pt>
                <c:pt idx="341">
                  <c:v>07.дек</c:v>
                </c:pt>
                <c:pt idx="342">
                  <c:v>08.дек</c:v>
                </c:pt>
                <c:pt idx="343">
                  <c:v>09.дек</c:v>
                </c:pt>
                <c:pt idx="344">
                  <c:v>10.дек</c:v>
                </c:pt>
                <c:pt idx="345">
                  <c:v>11.дек</c:v>
                </c:pt>
                <c:pt idx="346">
                  <c:v>12.дек</c:v>
                </c:pt>
                <c:pt idx="347">
                  <c:v>13.дек</c:v>
                </c:pt>
                <c:pt idx="348">
                  <c:v>14.дек</c:v>
                </c:pt>
                <c:pt idx="349">
                  <c:v>15.дек</c:v>
                </c:pt>
                <c:pt idx="350">
                  <c:v>16.дек</c:v>
                </c:pt>
                <c:pt idx="351">
                  <c:v>17.дек</c:v>
                </c:pt>
                <c:pt idx="352">
                  <c:v>18.дек</c:v>
                </c:pt>
                <c:pt idx="353">
                  <c:v>19.дек</c:v>
                </c:pt>
                <c:pt idx="354">
                  <c:v>20.дек</c:v>
                </c:pt>
                <c:pt idx="355">
                  <c:v>21.дек</c:v>
                </c:pt>
                <c:pt idx="356">
                  <c:v>22.дек</c:v>
                </c:pt>
                <c:pt idx="357">
                  <c:v>23.дек</c:v>
                </c:pt>
                <c:pt idx="358">
                  <c:v>24.дек</c:v>
                </c:pt>
                <c:pt idx="359">
                  <c:v>25.дек</c:v>
                </c:pt>
                <c:pt idx="360">
                  <c:v>26.дек</c:v>
                </c:pt>
                <c:pt idx="361">
                  <c:v>27.дек</c:v>
                </c:pt>
                <c:pt idx="362">
                  <c:v>28.дек</c:v>
                </c:pt>
                <c:pt idx="363">
                  <c:v>29.дек</c:v>
                </c:pt>
                <c:pt idx="364">
                  <c:v>30.дек</c:v>
                </c:pt>
                <c:pt idx="365">
                  <c:v>31.дек</c:v>
                </c:pt>
              </c:strCache>
            </c:strRef>
          </c:cat>
          <c:val>
            <c:numRef>
              <c:f>КОНТР!$E$7:$E$373</c:f>
              <c:numCache>
                <c:formatCode>General</c:formatCode>
                <c:ptCount val="367"/>
                <c:pt idx="0">
                  <c:v>456.48</c:v>
                </c:pt>
                <c:pt idx="1">
                  <c:v>456.48</c:v>
                </c:pt>
                <c:pt idx="2">
                  <c:v>456.48</c:v>
                </c:pt>
                <c:pt idx="3">
                  <c:v>456.47</c:v>
                </c:pt>
                <c:pt idx="4">
                  <c:v>456.47</c:v>
                </c:pt>
                <c:pt idx="5">
                  <c:v>456.47</c:v>
                </c:pt>
                <c:pt idx="6">
                  <c:v>456.47</c:v>
                </c:pt>
                <c:pt idx="7">
                  <c:v>456.46</c:v>
                </c:pt>
                <c:pt idx="8">
                  <c:v>456.45</c:v>
                </c:pt>
                <c:pt idx="9">
                  <c:v>456.45</c:v>
                </c:pt>
                <c:pt idx="10">
                  <c:v>456.45</c:v>
                </c:pt>
                <c:pt idx="11">
                  <c:v>456.45</c:v>
                </c:pt>
                <c:pt idx="12">
                  <c:v>456.44</c:v>
                </c:pt>
                <c:pt idx="13">
                  <c:v>456.44</c:v>
                </c:pt>
                <c:pt idx="14">
                  <c:v>456.44</c:v>
                </c:pt>
                <c:pt idx="15">
                  <c:v>456.44</c:v>
                </c:pt>
                <c:pt idx="16">
                  <c:v>456.44</c:v>
                </c:pt>
                <c:pt idx="17">
                  <c:v>456.44</c:v>
                </c:pt>
                <c:pt idx="18">
                  <c:v>456.43</c:v>
                </c:pt>
                <c:pt idx="19">
                  <c:v>456.43</c:v>
                </c:pt>
                <c:pt idx="20">
                  <c:v>456.43</c:v>
                </c:pt>
                <c:pt idx="21">
                  <c:v>456.43</c:v>
                </c:pt>
                <c:pt idx="22">
                  <c:v>456.42</c:v>
                </c:pt>
                <c:pt idx="23">
                  <c:v>456.42</c:v>
                </c:pt>
                <c:pt idx="24">
                  <c:v>456.42</c:v>
                </c:pt>
                <c:pt idx="25">
                  <c:v>456.41</c:v>
                </c:pt>
                <c:pt idx="26">
                  <c:v>456.41</c:v>
                </c:pt>
                <c:pt idx="27">
                  <c:v>456.41</c:v>
                </c:pt>
                <c:pt idx="28">
                  <c:v>456.4</c:v>
                </c:pt>
                <c:pt idx="29">
                  <c:v>456.4</c:v>
                </c:pt>
                <c:pt idx="30">
                  <c:v>456.4</c:v>
                </c:pt>
                <c:pt idx="31">
                  <c:v>456.4</c:v>
                </c:pt>
                <c:pt idx="32">
                  <c:v>456.4</c:v>
                </c:pt>
                <c:pt idx="33">
                  <c:v>456.4</c:v>
                </c:pt>
                <c:pt idx="34">
                  <c:v>456.4</c:v>
                </c:pt>
                <c:pt idx="35">
                  <c:v>456.39</c:v>
                </c:pt>
                <c:pt idx="36">
                  <c:v>456.39</c:v>
                </c:pt>
                <c:pt idx="37">
                  <c:v>456.39</c:v>
                </c:pt>
                <c:pt idx="38">
                  <c:v>456.39</c:v>
                </c:pt>
                <c:pt idx="39">
                  <c:v>456.39</c:v>
                </c:pt>
                <c:pt idx="40">
                  <c:v>456.39</c:v>
                </c:pt>
                <c:pt idx="41">
                  <c:v>456.38</c:v>
                </c:pt>
                <c:pt idx="42">
                  <c:v>456.38</c:v>
                </c:pt>
                <c:pt idx="43">
                  <c:v>456.38</c:v>
                </c:pt>
                <c:pt idx="44">
                  <c:v>456.38</c:v>
                </c:pt>
                <c:pt idx="45">
                  <c:v>456.38</c:v>
                </c:pt>
                <c:pt idx="46">
                  <c:v>456.37</c:v>
                </c:pt>
                <c:pt idx="47">
                  <c:v>456.37</c:v>
                </c:pt>
                <c:pt idx="48">
                  <c:v>456.37</c:v>
                </c:pt>
                <c:pt idx="49">
                  <c:v>456.36</c:v>
                </c:pt>
                <c:pt idx="50">
                  <c:v>456.36</c:v>
                </c:pt>
                <c:pt idx="51">
                  <c:v>456.36</c:v>
                </c:pt>
                <c:pt idx="52">
                  <c:v>456.36</c:v>
                </c:pt>
                <c:pt idx="53">
                  <c:v>456.36</c:v>
                </c:pt>
                <c:pt idx="54">
                  <c:v>456.36</c:v>
                </c:pt>
                <c:pt idx="55">
                  <c:v>456.35</c:v>
                </c:pt>
                <c:pt idx="56">
                  <c:v>456.35</c:v>
                </c:pt>
                <c:pt idx="57">
                  <c:v>456.35</c:v>
                </c:pt>
                <c:pt idx="58">
                  <c:v>456.35</c:v>
                </c:pt>
                <c:pt idx="59">
                  <c:v>456.35</c:v>
                </c:pt>
                <c:pt idx="60">
                  <c:v>456.34</c:v>
                </c:pt>
                <c:pt idx="61">
                  <c:v>456.34</c:v>
                </c:pt>
                <c:pt idx="62">
                  <c:v>456.34</c:v>
                </c:pt>
                <c:pt idx="63">
                  <c:v>456.34</c:v>
                </c:pt>
                <c:pt idx="64">
                  <c:v>456.33</c:v>
                </c:pt>
                <c:pt idx="65">
                  <c:v>456.32</c:v>
                </c:pt>
                <c:pt idx="66">
                  <c:v>456.32</c:v>
                </c:pt>
                <c:pt idx="67">
                  <c:v>456.32</c:v>
                </c:pt>
                <c:pt idx="68">
                  <c:v>456.32</c:v>
                </c:pt>
                <c:pt idx="69">
                  <c:v>456.32</c:v>
                </c:pt>
                <c:pt idx="70">
                  <c:v>456.32</c:v>
                </c:pt>
                <c:pt idx="71">
                  <c:v>456.31</c:v>
                </c:pt>
                <c:pt idx="72">
                  <c:v>456.31</c:v>
                </c:pt>
                <c:pt idx="73">
                  <c:v>456.31</c:v>
                </c:pt>
                <c:pt idx="74">
                  <c:v>456.3</c:v>
                </c:pt>
                <c:pt idx="75">
                  <c:v>456.3</c:v>
                </c:pt>
                <c:pt idx="76">
                  <c:v>456.3</c:v>
                </c:pt>
                <c:pt idx="77">
                  <c:v>456.3</c:v>
                </c:pt>
                <c:pt idx="78">
                  <c:v>456.29</c:v>
                </c:pt>
                <c:pt idx="79">
                  <c:v>456.29</c:v>
                </c:pt>
                <c:pt idx="80">
                  <c:v>456.29</c:v>
                </c:pt>
                <c:pt idx="81">
                  <c:v>456.27</c:v>
                </c:pt>
                <c:pt idx="82">
                  <c:v>456.27</c:v>
                </c:pt>
                <c:pt idx="83">
                  <c:v>456.27</c:v>
                </c:pt>
                <c:pt idx="84">
                  <c:v>456.26</c:v>
                </c:pt>
                <c:pt idx="85">
                  <c:v>456.26</c:v>
                </c:pt>
                <c:pt idx="86">
                  <c:v>456.26</c:v>
                </c:pt>
                <c:pt idx="87">
                  <c:v>456.25</c:v>
                </c:pt>
                <c:pt idx="88">
                  <c:v>456.24</c:v>
                </c:pt>
                <c:pt idx="89">
                  <c:v>456.24</c:v>
                </c:pt>
                <c:pt idx="90">
                  <c:v>456.23</c:v>
                </c:pt>
                <c:pt idx="91">
                  <c:v>456.23</c:v>
                </c:pt>
                <c:pt idx="92">
                  <c:v>456.23</c:v>
                </c:pt>
                <c:pt idx="93">
                  <c:v>456.22</c:v>
                </c:pt>
                <c:pt idx="94">
                  <c:v>456.21499999999997</c:v>
                </c:pt>
                <c:pt idx="95">
                  <c:v>456.21</c:v>
                </c:pt>
                <c:pt idx="96">
                  <c:v>456.2</c:v>
                </c:pt>
                <c:pt idx="97">
                  <c:v>456.19</c:v>
                </c:pt>
                <c:pt idx="98">
                  <c:v>456.19</c:v>
                </c:pt>
                <c:pt idx="99">
                  <c:v>456.18</c:v>
                </c:pt>
                <c:pt idx="100">
                  <c:v>456.18</c:v>
                </c:pt>
                <c:pt idx="101">
                  <c:v>456.18</c:v>
                </c:pt>
                <c:pt idx="102">
                  <c:v>456.18</c:v>
                </c:pt>
                <c:pt idx="103">
                  <c:v>456.18</c:v>
                </c:pt>
                <c:pt idx="104">
                  <c:v>456.18</c:v>
                </c:pt>
                <c:pt idx="105">
                  <c:v>456.18</c:v>
                </c:pt>
                <c:pt idx="106">
                  <c:v>456.18</c:v>
                </c:pt>
                <c:pt idx="107">
                  <c:v>456.18</c:v>
                </c:pt>
                <c:pt idx="108">
                  <c:v>456.18</c:v>
                </c:pt>
                <c:pt idx="109">
                  <c:v>456.18</c:v>
                </c:pt>
                <c:pt idx="110">
                  <c:v>456.18</c:v>
                </c:pt>
                <c:pt idx="111">
                  <c:v>456.17</c:v>
                </c:pt>
                <c:pt idx="112">
                  <c:v>456.17</c:v>
                </c:pt>
                <c:pt idx="113">
                  <c:v>456.17</c:v>
                </c:pt>
                <c:pt idx="114">
                  <c:v>456.17</c:v>
                </c:pt>
                <c:pt idx="115">
                  <c:v>456.17</c:v>
                </c:pt>
                <c:pt idx="116">
                  <c:v>456.18</c:v>
                </c:pt>
                <c:pt idx="117">
                  <c:v>456.18</c:v>
                </c:pt>
                <c:pt idx="118">
                  <c:v>456.18</c:v>
                </c:pt>
                <c:pt idx="119">
                  <c:v>456.18</c:v>
                </c:pt>
                <c:pt idx="120">
                  <c:v>456.18</c:v>
                </c:pt>
                <c:pt idx="121">
                  <c:v>456.18</c:v>
                </c:pt>
                <c:pt idx="122">
                  <c:v>456.18</c:v>
                </c:pt>
                <c:pt idx="123">
                  <c:v>456.18</c:v>
                </c:pt>
                <c:pt idx="124">
                  <c:v>456.18</c:v>
                </c:pt>
                <c:pt idx="125">
                  <c:v>456.18</c:v>
                </c:pt>
                <c:pt idx="126">
                  <c:v>456.19</c:v>
                </c:pt>
                <c:pt idx="127">
                  <c:v>456.19</c:v>
                </c:pt>
                <c:pt idx="128">
                  <c:v>456.2</c:v>
                </c:pt>
                <c:pt idx="129">
                  <c:v>456.2</c:v>
                </c:pt>
                <c:pt idx="130">
                  <c:v>456.21</c:v>
                </c:pt>
                <c:pt idx="131">
                  <c:v>456.22</c:v>
                </c:pt>
                <c:pt idx="132">
                  <c:v>456.22</c:v>
                </c:pt>
                <c:pt idx="133">
                  <c:v>456.23</c:v>
                </c:pt>
                <c:pt idx="134">
                  <c:v>456.23</c:v>
                </c:pt>
                <c:pt idx="135">
                  <c:v>456.23</c:v>
                </c:pt>
                <c:pt idx="136">
                  <c:v>456.23</c:v>
                </c:pt>
                <c:pt idx="137">
                  <c:v>456.23</c:v>
                </c:pt>
                <c:pt idx="138">
                  <c:v>456.23</c:v>
                </c:pt>
                <c:pt idx="139">
                  <c:v>456.23</c:v>
                </c:pt>
                <c:pt idx="140">
                  <c:v>456.23</c:v>
                </c:pt>
                <c:pt idx="141">
                  <c:v>456.23</c:v>
                </c:pt>
                <c:pt idx="142">
                  <c:v>456.24</c:v>
                </c:pt>
                <c:pt idx="143">
                  <c:v>456.24</c:v>
                </c:pt>
                <c:pt idx="144">
                  <c:v>456.25</c:v>
                </c:pt>
                <c:pt idx="145">
                  <c:v>456.25</c:v>
                </c:pt>
                <c:pt idx="146">
                  <c:v>456.26</c:v>
                </c:pt>
                <c:pt idx="147">
                  <c:v>456.27</c:v>
                </c:pt>
                <c:pt idx="148">
                  <c:v>456.28</c:v>
                </c:pt>
                <c:pt idx="149">
                  <c:v>456.28</c:v>
                </c:pt>
                <c:pt idx="150">
                  <c:v>456.29</c:v>
                </c:pt>
                <c:pt idx="151">
                  <c:v>456.29</c:v>
                </c:pt>
                <c:pt idx="152">
                  <c:v>456.29</c:v>
                </c:pt>
                <c:pt idx="153">
                  <c:v>456.3</c:v>
                </c:pt>
                <c:pt idx="154">
                  <c:v>456.31</c:v>
                </c:pt>
                <c:pt idx="155">
                  <c:v>456.32</c:v>
                </c:pt>
                <c:pt idx="156">
                  <c:v>456.32</c:v>
                </c:pt>
                <c:pt idx="158">
                  <c:v>456.33</c:v>
                </c:pt>
                <c:pt idx="159">
                  <c:v>456.33</c:v>
                </c:pt>
                <c:pt idx="160">
                  <c:v>456.34</c:v>
                </c:pt>
                <c:pt idx="161">
                  <c:v>456.35</c:v>
                </c:pt>
                <c:pt idx="162">
                  <c:v>456.35</c:v>
                </c:pt>
                <c:pt idx="163">
                  <c:v>456.36</c:v>
                </c:pt>
                <c:pt idx="164">
                  <c:v>456.37</c:v>
                </c:pt>
                <c:pt idx="165">
                  <c:v>456.38</c:v>
                </c:pt>
                <c:pt idx="166">
                  <c:v>456.39</c:v>
                </c:pt>
                <c:pt idx="167">
                  <c:v>456.39</c:v>
                </c:pt>
                <c:pt idx="168">
                  <c:v>456.4</c:v>
                </c:pt>
                <c:pt idx="169">
                  <c:v>456.41</c:v>
                </c:pt>
                <c:pt idx="170">
                  <c:v>456.42</c:v>
                </c:pt>
                <c:pt idx="171">
                  <c:v>456.41500000000002</c:v>
                </c:pt>
                <c:pt idx="172">
                  <c:v>456.43</c:v>
                </c:pt>
                <c:pt idx="173">
                  <c:v>456.45</c:v>
                </c:pt>
                <c:pt idx="174">
                  <c:v>456.45</c:v>
                </c:pt>
                <c:pt idx="175">
                  <c:v>456.46</c:v>
                </c:pt>
                <c:pt idx="176">
                  <c:v>456.46</c:v>
                </c:pt>
                <c:pt idx="177">
                  <c:v>456.46</c:v>
                </c:pt>
                <c:pt idx="178">
                  <c:v>456.46</c:v>
                </c:pt>
                <c:pt idx="179">
                  <c:v>456.47</c:v>
                </c:pt>
                <c:pt idx="180">
                  <c:v>456.47</c:v>
                </c:pt>
                <c:pt idx="181">
                  <c:v>456.48</c:v>
                </c:pt>
                <c:pt idx="182">
                  <c:v>456.49</c:v>
                </c:pt>
                <c:pt idx="183">
                  <c:v>456.49</c:v>
                </c:pt>
                <c:pt idx="184">
                  <c:v>456.5</c:v>
                </c:pt>
                <c:pt idx="185">
                  <c:v>456.5</c:v>
                </c:pt>
                <c:pt idx="186">
                  <c:v>456.51</c:v>
                </c:pt>
                <c:pt idx="187">
                  <c:v>456.51</c:v>
                </c:pt>
                <c:pt idx="188">
                  <c:v>456.51</c:v>
                </c:pt>
                <c:pt idx="189">
                  <c:v>456.51</c:v>
                </c:pt>
                <c:pt idx="190">
                  <c:v>456.52</c:v>
                </c:pt>
                <c:pt idx="191">
                  <c:v>456.52</c:v>
                </c:pt>
                <c:pt idx="192">
                  <c:v>456.52</c:v>
                </c:pt>
                <c:pt idx="193">
                  <c:v>456.53</c:v>
                </c:pt>
                <c:pt idx="194">
                  <c:v>456.54</c:v>
                </c:pt>
                <c:pt idx="195">
                  <c:v>456.54</c:v>
                </c:pt>
                <c:pt idx="196">
                  <c:v>456.54</c:v>
                </c:pt>
                <c:pt idx="197">
                  <c:v>456.54</c:v>
                </c:pt>
                <c:pt idx="198">
                  <c:v>456.55</c:v>
                </c:pt>
                <c:pt idx="199">
                  <c:v>456.56</c:v>
                </c:pt>
                <c:pt idx="200">
                  <c:v>456.57</c:v>
                </c:pt>
                <c:pt idx="201">
                  <c:v>456.58</c:v>
                </c:pt>
                <c:pt idx="202">
                  <c:v>456.58</c:v>
                </c:pt>
                <c:pt idx="203">
                  <c:v>456.58</c:v>
                </c:pt>
                <c:pt idx="204">
                  <c:v>456.58</c:v>
                </c:pt>
                <c:pt idx="205">
                  <c:v>456.58</c:v>
                </c:pt>
                <c:pt idx="206">
                  <c:v>456.59</c:v>
                </c:pt>
                <c:pt idx="207">
                  <c:v>456.59</c:v>
                </c:pt>
                <c:pt idx="208">
                  <c:v>456.6</c:v>
                </c:pt>
                <c:pt idx="209">
                  <c:v>456.61</c:v>
                </c:pt>
                <c:pt idx="210">
                  <c:v>456.61</c:v>
                </c:pt>
                <c:pt idx="211">
                  <c:v>456.62</c:v>
                </c:pt>
                <c:pt idx="212">
                  <c:v>456.63</c:v>
                </c:pt>
                <c:pt idx="213">
                  <c:v>456.64</c:v>
                </c:pt>
                <c:pt idx="214">
                  <c:v>456.65</c:v>
                </c:pt>
                <c:pt idx="215">
                  <c:v>456.66</c:v>
                </c:pt>
                <c:pt idx="216">
                  <c:v>456.67</c:v>
                </c:pt>
                <c:pt idx="217">
                  <c:v>456.68</c:v>
                </c:pt>
                <c:pt idx="218">
                  <c:v>456.69</c:v>
                </c:pt>
                <c:pt idx="219">
                  <c:v>456.69</c:v>
                </c:pt>
                <c:pt idx="220">
                  <c:v>456.7</c:v>
                </c:pt>
                <c:pt idx="221">
                  <c:v>456.71</c:v>
                </c:pt>
                <c:pt idx="222">
                  <c:v>456.73</c:v>
                </c:pt>
                <c:pt idx="223">
                  <c:v>456.75</c:v>
                </c:pt>
                <c:pt idx="224">
                  <c:v>456.76</c:v>
                </c:pt>
                <c:pt idx="225">
                  <c:v>456.76</c:v>
                </c:pt>
                <c:pt idx="226">
                  <c:v>456.77</c:v>
                </c:pt>
                <c:pt idx="227">
                  <c:v>456.78</c:v>
                </c:pt>
                <c:pt idx="228">
                  <c:v>456.79</c:v>
                </c:pt>
                <c:pt idx="229">
                  <c:v>456.79</c:v>
                </c:pt>
                <c:pt idx="230">
                  <c:v>456.8</c:v>
                </c:pt>
                <c:pt idx="231">
                  <c:v>456.8</c:v>
                </c:pt>
                <c:pt idx="232">
                  <c:v>456.8</c:v>
                </c:pt>
                <c:pt idx="233">
                  <c:v>456.81</c:v>
                </c:pt>
                <c:pt idx="234">
                  <c:v>456.81</c:v>
                </c:pt>
                <c:pt idx="235">
                  <c:v>456.82</c:v>
                </c:pt>
                <c:pt idx="236">
                  <c:v>456.83</c:v>
                </c:pt>
                <c:pt idx="237">
                  <c:v>456.85</c:v>
                </c:pt>
                <c:pt idx="238">
                  <c:v>456.86</c:v>
                </c:pt>
                <c:pt idx="239">
                  <c:v>456.86</c:v>
                </c:pt>
                <c:pt idx="240">
                  <c:v>456.87</c:v>
                </c:pt>
                <c:pt idx="241">
                  <c:v>456.87</c:v>
                </c:pt>
                <c:pt idx="242">
                  <c:v>456.88</c:v>
                </c:pt>
                <c:pt idx="243">
                  <c:v>456.89</c:v>
                </c:pt>
                <c:pt idx="244">
                  <c:v>456.91</c:v>
                </c:pt>
                <c:pt idx="245">
                  <c:v>456.92</c:v>
                </c:pt>
                <c:pt idx="246">
                  <c:v>456.93</c:v>
                </c:pt>
                <c:pt idx="247">
                  <c:v>456.94</c:v>
                </c:pt>
                <c:pt idx="248">
                  <c:v>456.95</c:v>
                </c:pt>
                <c:pt idx="249">
                  <c:v>456.95</c:v>
                </c:pt>
                <c:pt idx="250">
                  <c:v>456.96</c:v>
                </c:pt>
                <c:pt idx="251">
                  <c:v>456.96</c:v>
                </c:pt>
                <c:pt idx="252">
                  <c:v>456.96</c:v>
                </c:pt>
                <c:pt idx="253">
                  <c:v>456.96</c:v>
                </c:pt>
                <c:pt idx="254">
                  <c:v>456.97</c:v>
                </c:pt>
                <c:pt idx="255">
                  <c:v>456.98500000000001</c:v>
                </c:pt>
                <c:pt idx="256">
                  <c:v>457</c:v>
                </c:pt>
                <c:pt idx="257">
                  <c:v>457.02</c:v>
                </c:pt>
                <c:pt idx="258">
                  <c:v>457.04</c:v>
                </c:pt>
                <c:pt idx="259">
                  <c:v>457.05</c:v>
                </c:pt>
                <c:pt idx="260">
                  <c:v>457.05</c:v>
                </c:pt>
                <c:pt idx="261">
                  <c:v>457.06</c:v>
                </c:pt>
                <c:pt idx="262">
                  <c:v>457.065</c:v>
                </c:pt>
                <c:pt idx="263">
                  <c:v>457.07</c:v>
                </c:pt>
                <c:pt idx="264" formatCode="0.000">
                  <c:v>457.07499999999999</c:v>
                </c:pt>
                <c:pt idx="265">
                  <c:v>457.08</c:v>
                </c:pt>
                <c:pt idx="266">
                  <c:v>457.09</c:v>
                </c:pt>
                <c:pt idx="267">
                  <c:v>457.09</c:v>
                </c:pt>
                <c:pt idx="268">
                  <c:v>457.09</c:v>
                </c:pt>
                <c:pt idx="269">
                  <c:v>457.09500000000003</c:v>
                </c:pt>
                <c:pt idx="270">
                  <c:v>457.1</c:v>
                </c:pt>
                <c:pt idx="271">
                  <c:v>457.11</c:v>
                </c:pt>
                <c:pt idx="272">
                  <c:v>457.11</c:v>
                </c:pt>
                <c:pt idx="273">
                  <c:v>457.12</c:v>
                </c:pt>
                <c:pt idx="274">
                  <c:v>457.12</c:v>
                </c:pt>
                <c:pt idx="275">
                  <c:v>457.12</c:v>
                </c:pt>
                <c:pt idx="276">
                  <c:v>457.11</c:v>
                </c:pt>
                <c:pt idx="277">
                  <c:v>457.1</c:v>
                </c:pt>
                <c:pt idx="278">
                  <c:v>457.1</c:v>
                </c:pt>
                <c:pt idx="279">
                  <c:v>457.09</c:v>
                </c:pt>
                <c:pt idx="280">
                  <c:v>457.08</c:v>
                </c:pt>
                <c:pt idx="281">
                  <c:v>457.08</c:v>
                </c:pt>
                <c:pt idx="282">
                  <c:v>457.07</c:v>
                </c:pt>
                <c:pt idx="283">
                  <c:v>457.07</c:v>
                </c:pt>
                <c:pt idx="284">
                  <c:v>457.07</c:v>
                </c:pt>
                <c:pt idx="285">
                  <c:v>457.07</c:v>
                </c:pt>
                <c:pt idx="286">
                  <c:v>457.07</c:v>
                </c:pt>
                <c:pt idx="287">
                  <c:v>457.07</c:v>
                </c:pt>
                <c:pt idx="288">
                  <c:v>457.07</c:v>
                </c:pt>
                <c:pt idx="289">
                  <c:v>457.07</c:v>
                </c:pt>
                <c:pt idx="290">
                  <c:v>457.07</c:v>
                </c:pt>
                <c:pt idx="291">
                  <c:v>457.07</c:v>
                </c:pt>
                <c:pt idx="292">
                  <c:v>457.06</c:v>
                </c:pt>
                <c:pt idx="293">
                  <c:v>457.06</c:v>
                </c:pt>
                <c:pt idx="294">
                  <c:v>457.06</c:v>
                </c:pt>
                <c:pt idx="295">
                  <c:v>457.06</c:v>
                </c:pt>
                <c:pt idx="296">
                  <c:v>457.05</c:v>
                </c:pt>
                <c:pt idx="297">
                  <c:v>457.05</c:v>
                </c:pt>
                <c:pt idx="298">
                  <c:v>457.04</c:v>
                </c:pt>
                <c:pt idx="299">
                  <c:v>457.04</c:v>
                </c:pt>
                <c:pt idx="300">
                  <c:v>457.04</c:v>
                </c:pt>
                <c:pt idx="301">
                  <c:v>457.04</c:v>
                </c:pt>
                <c:pt idx="302">
                  <c:v>457.03</c:v>
                </c:pt>
                <c:pt idx="303">
                  <c:v>457.03</c:v>
                </c:pt>
                <c:pt idx="304">
                  <c:v>457.03</c:v>
                </c:pt>
                <c:pt idx="305">
                  <c:v>457.02</c:v>
                </c:pt>
                <c:pt idx="306">
                  <c:v>457.02</c:v>
                </c:pt>
                <c:pt idx="307">
                  <c:v>457.01</c:v>
                </c:pt>
                <c:pt idx="308">
                  <c:v>457.01</c:v>
                </c:pt>
                <c:pt idx="309">
                  <c:v>457.01</c:v>
                </c:pt>
                <c:pt idx="310">
                  <c:v>457.01</c:v>
                </c:pt>
                <c:pt idx="311">
                  <c:v>457</c:v>
                </c:pt>
                <c:pt idx="312">
                  <c:v>456.99</c:v>
                </c:pt>
                <c:pt idx="313">
                  <c:v>456.98</c:v>
                </c:pt>
                <c:pt idx="314">
                  <c:v>456.97</c:v>
                </c:pt>
                <c:pt idx="315">
                  <c:v>456.97</c:v>
                </c:pt>
                <c:pt idx="316">
                  <c:v>456.96</c:v>
                </c:pt>
                <c:pt idx="317">
                  <c:v>456.96</c:v>
                </c:pt>
                <c:pt idx="318">
                  <c:v>456.96</c:v>
                </c:pt>
                <c:pt idx="319">
                  <c:v>456.95</c:v>
                </c:pt>
                <c:pt idx="320">
                  <c:v>456.95</c:v>
                </c:pt>
                <c:pt idx="321">
                  <c:v>456.94</c:v>
                </c:pt>
                <c:pt idx="322">
                  <c:v>456.93</c:v>
                </c:pt>
                <c:pt idx="323">
                  <c:v>456.93</c:v>
                </c:pt>
                <c:pt idx="324">
                  <c:v>456.93</c:v>
                </c:pt>
                <c:pt idx="325">
                  <c:v>456.92500000000001</c:v>
                </c:pt>
                <c:pt idx="326">
                  <c:v>456.92</c:v>
                </c:pt>
                <c:pt idx="327">
                  <c:v>456.91</c:v>
                </c:pt>
                <c:pt idx="328">
                  <c:v>456.9</c:v>
                </c:pt>
                <c:pt idx="329">
                  <c:v>456.89</c:v>
                </c:pt>
                <c:pt idx="330">
                  <c:v>456.88</c:v>
                </c:pt>
                <c:pt idx="331">
                  <c:v>456.88</c:v>
                </c:pt>
                <c:pt idx="332">
                  <c:v>456.88</c:v>
                </c:pt>
                <c:pt idx="333">
                  <c:v>456.88</c:v>
                </c:pt>
                <c:pt idx="334">
                  <c:v>456.88</c:v>
                </c:pt>
                <c:pt idx="335">
                  <c:v>456.87</c:v>
                </c:pt>
                <c:pt idx="336">
                  <c:v>456.87</c:v>
                </c:pt>
                <c:pt idx="337">
                  <c:v>456.86</c:v>
                </c:pt>
                <c:pt idx="338">
                  <c:v>456.85</c:v>
                </c:pt>
                <c:pt idx="339">
                  <c:v>456.84</c:v>
                </c:pt>
                <c:pt idx="340">
                  <c:v>456.83</c:v>
                </c:pt>
                <c:pt idx="341">
                  <c:v>456.82</c:v>
                </c:pt>
                <c:pt idx="342">
                  <c:v>456.81</c:v>
                </c:pt>
                <c:pt idx="343">
                  <c:v>456.8</c:v>
                </c:pt>
                <c:pt idx="344">
                  <c:v>456.8</c:v>
                </c:pt>
                <c:pt idx="345">
                  <c:v>456.79</c:v>
                </c:pt>
                <c:pt idx="346">
                  <c:v>456.79</c:v>
                </c:pt>
                <c:pt idx="347">
                  <c:v>456.78</c:v>
                </c:pt>
                <c:pt idx="348">
                  <c:v>456.78</c:v>
                </c:pt>
                <c:pt idx="349">
                  <c:v>456.77</c:v>
                </c:pt>
                <c:pt idx="350">
                  <c:v>456.75</c:v>
                </c:pt>
                <c:pt idx="351">
                  <c:v>456.73</c:v>
                </c:pt>
                <c:pt idx="352">
                  <c:v>456.72</c:v>
                </c:pt>
                <c:pt idx="353" formatCode="0.000">
                  <c:v>456.71499999999997</c:v>
                </c:pt>
                <c:pt idx="354">
                  <c:v>456.71</c:v>
                </c:pt>
                <c:pt idx="355">
                  <c:v>456.71</c:v>
                </c:pt>
                <c:pt idx="356">
                  <c:v>456.7</c:v>
                </c:pt>
                <c:pt idx="357">
                  <c:v>456.68</c:v>
                </c:pt>
                <c:pt idx="358">
                  <c:v>456.68</c:v>
                </c:pt>
                <c:pt idx="359">
                  <c:v>456.68</c:v>
                </c:pt>
                <c:pt idx="360">
                  <c:v>456.67</c:v>
                </c:pt>
                <c:pt idx="361">
                  <c:v>456.67</c:v>
                </c:pt>
                <c:pt idx="362">
                  <c:v>456.67</c:v>
                </c:pt>
                <c:pt idx="363">
                  <c:v>456.66</c:v>
                </c:pt>
                <c:pt idx="364">
                  <c:v>456.66</c:v>
                </c:pt>
                <c:pt idx="365">
                  <c:v>456.64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F46E-47A0-8D6F-A9F124A7918B}"/>
            </c:ext>
          </c:extLst>
        </c:ser>
        <c:ser>
          <c:idx val="1"/>
          <c:order val="1"/>
          <c:marker>
            <c:symbol val="none"/>
          </c:marker>
          <c:val>
            <c:numRef>
              <c:f>'2021ГОД'!$E$8:$E$369</c:f>
              <c:numCache>
                <c:formatCode>General</c:formatCode>
                <c:ptCount val="362"/>
                <c:pt idx="0">
                  <c:v>456.64</c:v>
                </c:pt>
                <c:pt idx="1">
                  <c:v>456.63</c:v>
                </c:pt>
                <c:pt idx="2">
                  <c:v>456.62</c:v>
                </c:pt>
                <c:pt idx="3">
                  <c:v>456.62</c:v>
                </c:pt>
                <c:pt idx="4">
                  <c:v>456.62</c:v>
                </c:pt>
                <c:pt idx="5">
                  <c:v>456.62</c:v>
                </c:pt>
                <c:pt idx="6">
                  <c:v>456.61</c:v>
                </c:pt>
                <c:pt idx="7">
                  <c:v>456.6</c:v>
                </c:pt>
                <c:pt idx="8">
                  <c:v>456.59</c:v>
                </c:pt>
                <c:pt idx="9">
                  <c:v>456.58</c:v>
                </c:pt>
                <c:pt idx="10">
                  <c:v>456.57</c:v>
                </c:pt>
                <c:pt idx="11">
                  <c:v>456.57</c:v>
                </c:pt>
                <c:pt idx="12">
                  <c:v>456.56</c:v>
                </c:pt>
                <c:pt idx="13">
                  <c:v>456.55</c:v>
                </c:pt>
                <c:pt idx="14">
                  <c:v>456.55</c:v>
                </c:pt>
                <c:pt idx="15">
                  <c:v>456.55</c:v>
                </c:pt>
                <c:pt idx="16">
                  <c:v>456.55</c:v>
                </c:pt>
                <c:pt idx="17">
                  <c:v>456.54</c:v>
                </c:pt>
                <c:pt idx="18">
                  <c:v>456.52</c:v>
                </c:pt>
                <c:pt idx="19">
                  <c:v>456.52</c:v>
                </c:pt>
                <c:pt idx="20">
                  <c:v>456.51</c:v>
                </c:pt>
                <c:pt idx="21">
                  <c:v>456.51</c:v>
                </c:pt>
                <c:pt idx="22">
                  <c:v>456.5</c:v>
                </c:pt>
                <c:pt idx="23">
                  <c:v>456.5</c:v>
                </c:pt>
                <c:pt idx="24">
                  <c:v>456.5</c:v>
                </c:pt>
                <c:pt idx="25">
                  <c:v>456.5</c:v>
                </c:pt>
                <c:pt idx="26">
                  <c:v>456.5</c:v>
                </c:pt>
                <c:pt idx="27">
                  <c:v>456.5</c:v>
                </c:pt>
                <c:pt idx="28">
                  <c:v>456.5</c:v>
                </c:pt>
                <c:pt idx="29">
                  <c:v>456.49</c:v>
                </c:pt>
                <c:pt idx="30">
                  <c:v>456.49</c:v>
                </c:pt>
                <c:pt idx="31">
                  <c:v>456.48</c:v>
                </c:pt>
                <c:pt idx="32">
                  <c:v>456.48</c:v>
                </c:pt>
                <c:pt idx="33">
                  <c:v>456.48</c:v>
                </c:pt>
                <c:pt idx="34">
                  <c:v>456.48</c:v>
                </c:pt>
                <c:pt idx="35">
                  <c:v>456.47</c:v>
                </c:pt>
                <c:pt idx="36">
                  <c:v>456.47</c:v>
                </c:pt>
                <c:pt idx="37">
                  <c:v>456.46</c:v>
                </c:pt>
                <c:pt idx="38">
                  <c:v>456.46</c:v>
                </c:pt>
                <c:pt idx="39">
                  <c:v>456.46</c:v>
                </c:pt>
                <c:pt idx="40">
                  <c:v>456.45</c:v>
                </c:pt>
                <c:pt idx="41">
                  <c:v>456.45</c:v>
                </c:pt>
                <c:pt idx="42">
                  <c:v>456.45</c:v>
                </c:pt>
                <c:pt idx="43">
                  <c:v>456.44</c:v>
                </c:pt>
                <c:pt idx="44">
                  <c:v>456.44</c:v>
                </c:pt>
                <c:pt idx="45">
                  <c:v>456.44</c:v>
                </c:pt>
                <c:pt idx="46">
                  <c:v>456.44</c:v>
                </c:pt>
                <c:pt idx="47">
                  <c:v>456.44</c:v>
                </c:pt>
                <c:pt idx="48">
                  <c:v>456.43</c:v>
                </c:pt>
                <c:pt idx="49">
                  <c:v>456.43</c:v>
                </c:pt>
                <c:pt idx="50">
                  <c:v>456.43</c:v>
                </c:pt>
                <c:pt idx="51">
                  <c:v>456.43</c:v>
                </c:pt>
                <c:pt idx="52">
                  <c:v>456.43</c:v>
                </c:pt>
                <c:pt idx="53">
                  <c:v>456.42</c:v>
                </c:pt>
                <c:pt idx="54">
                  <c:v>456.42</c:v>
                </c:pt>
                <c:pt idx="55">
                  <c:v>456.42</c:v>
                </c:pt>
                <c:pt idx="56">
                  <c:v>456.41</c:v>
                </c:pt>
                <c:pt idx="57">
                  <c:v>456.41</c:v>
                </c:pt>
                <c:pt idx="58">
                  <c:v>456.41</c:v>
                </c:pt>
                <c:pt idx="59">
                  <c:v>456.4</c:v>
                </c:pt>
                <c:pt idx="60">
                  <c:v>456.4</c:v>
                </c:pt>
                <c:pt idx="61">
                  <c:v>456.39</c:v>
                </c:pt>
                <c:pt idx="62">
                  <c:v>456.39</c:v>
                </c:pt>
                <c:pt idx="63">
                  <c:v>456.38</c:v>
                </c:pt>
                <c:pt idx="64">
                  <c:v>456.38</c:v>
                </c:pt>
                <c:pt idx="65">
                  <c:v>456.37</c:v>
                </c:pt>
                <c:pt idx="66">
                  <c:v>456.36</c:v>
                </c:pt>
                <c:pt idx="67">
                  <c:v>456.36</c:v>
                </c:pt>
                <c:pt idx="68">
                  <c:v>456.36</c:v>
                </c:pt>
                <c:pt idx="69">
                  <c:v>456.36</c:v>
                </c:pt>
                <c:pt idx="70">
                  <c:v>456.36</c:v>
                </c:pt>
                <c:pt idx="72">
                  <c:v>456.35</c:v>
                </c:pt>
                <c:pt idx="73">
                  <c:v>456.35</c:v>
                </c:pt>
                <c:pt idx="74">
                  <c:v>456.35</c:v>
                </c:pt>
                <c:pt idx="75">
                  <c:v>456.35</c:v>
                </c:pt>
                <c:pt idx="76">
                  <c:v>456.33</c:v>
                </c:pt>
                <c:pt idx="77">
                  <c:v>456.32</c:v>
                </c:pt>
                <c:pt idx="78">
                  <c:v>456.32</c:v>
                </c:pt>
                <c:pt idx="79">
                  <c:v>456.31</c:v>
                </c:pt>
                <c:pt idx="80">
                  <c:v>456.31</c:v>
                </c:pt>
                <c:pt idx="81">
                  <c:v>456.31</c:v>
                </c:pt>
                <c:pt idx="82">
                  <c:v>456.31</c:v>
                </c:pt>
                <c:pt idx="83">
                  <c:v>456.31</c:v>
                </c:pt>
                <c:pt idx="84">
                  <c:v>456.31</c:v>
                </c:pt>
                <c:pt idx="85">
                  <c:v>456.3</c:v>
                </c:pt>
                <c:pt idx="86">
                  <c:v>456.3</c:v>
                </c:pt>
                <c:pt idx="87">
                  <c:v>456.3</c:v>
                </c:pt>
                <c:pt idx="88">
                  <c:v>456.29</c:v>
                </c:pt>
                <c:pt idx="89">
                  <c:v>456.29</c:v>
                </c:pt>
                <c:pt idx="90">
                  <c:v>456.28</c:v>
                </c:pt>
                <c:pt idx="91">
                  <c:v>456.28</c:v>
                </c:pt>
                <c:pt idx="92">
                  <c:v>456.28</c:v>
                </c:pt>
                <c:pt idx="93">
                  <c:v>456.27</c:v>
                </c:pt>
                <c:pt idx="94">
                  <c:v>456.27</c:v>
                </c:pt>
                <c:pt idx="95">
                  <c:v>456.26</c:v>
                </c:pt>
                <c:pt idx="96">
                  <c:v>456.26</c:v>
                </c:pt>
                <c:pt idx="97">
                  <c:v>456.25</c:v>
                </c:pt>
                <c:pt idx="98">
                  <c:v>456.25</c:v>
                </c:pt>
                <c:pt idx="99">
                  <c:v>456.25</c:v>
                </c:pt>
                <c:pt idx="100">
                  <c:v>456.24</c:v>
                </c:pt>
                <c:pt idx="101">
                  <c:v>456.24</c:v>
                </c:pt>
                <c:pt idx="102">
                  <c:v>456.23</c:v>
                </c:pt>
                <c:pt idx="103">
                  <c:v>456.23</c:v>
                </c:pt>
                <c:pt idx="104">
                  <c:v>456.22</c:v>
                </c:pt>
                <c:pt idx="105">
                  <c:v>456.22</c:v>
                </c:pt>
                <c:pt idx="106">
                  <c:v>456.22</c:v>
                </c:pt>
                <c:pt idx="107">
                  <c:v>456.21</c:v>
                </c:pt>
                <c:pt idx="108">
                  <c:v>456.21</c:v>
                </c:pt>
                <c:pt idx="109">
                  <c:v>456.21</c:v>
                </c:pt>
                <c:pt idx="110">
                  <c:v>456.21</c:v>
                </c:pt>
                <c:pt idx="111">
                  <c:v>456.21</c:v>
                </c:pt>
                <c:pt idx="112">
                  <c:v>456.21</c:v>
                </c:pt>
                <c:pt idx="113">
                  <c:v>456.21</c:v>
                </c:pt>
                <c:pt idx="114">
                  <c:v>456.21</c:v>
                </c:pt>
                <c:pt idx="115">
                  <c:v>456.2</c:v>
                </c:pt>
                <c:pt idx="116">
                  <c:v>456.2</c:v>
                </c:pt>
                <c:pt idx="117">
                  <c:v>456.2</c:v>
                </c:pt>
                <c:pt idx="118">
                  <c:v>456.2</c:v>
                </c:pt>
                <c:pt idx="119">
                  <c:v>456.2</c:v>
                </c:pt>
                <c:pt idx="120">
                  <c:v>456.2</c:v>
                </c:pt>
                <c:pt idx="121">
                  <c:v>456.2</c:v>
                </c:pt>
                <c:pt idx="122">
                  <c:v>456.2</c:v>
                </c:pt>
                <c:pt idx="123">
                  <c:v>456.2</c:v>
                </c:pt>
                <c:pt idx="124">
                  <c:v>456.2</c:v>
                </c:pt>
                <c:pt idx="125">
                  <c:v>456.2</c:v>
                </c:pt>
                <c:pt idx="126">
                  <c:v>456.2</c:v>
                </c:pt>
                <c:pt idx="127">
                  <c:v>456.2</c:v>
                </c:pt>
                <c:pt idx="128">
                  <c:v>456.2</c:v>
                </c:pt>
                <c:pt idx="129">
                  <c:v>456.2</c:v>
                </c:pt>
                <c:pt idx="130">
                  <c:v>456.21</c:v>
                </c:pt>
                <c:pt idx="131">
                  <c:v>456.21</c:v>
                </c:pt>
                <c:pt idx="132">
                  <c:v>456.22</c:v>
                </c:pt>
                <c:pt idx="133">
                  <c:v>456.22</c:v>
                </c:pt>
                <c:pt idx="134">
                  <c:v>456.22</c:v>
                </c:pt>
                <c:pt idx="135">
                  <c:v>456.21</c:v>
                </c:pt>
                <c:pt idx="136">
                  <c:v>456.22</c:v>
                </c:pt>
                <c:pt idx="137">
                  <c:v>456.22</c:v>
                </c:pt>
                <c:pt idx="138">
                  <c:v>456.23</c:v>
                </c:pt>
                <c:pt idx="139">
                  <c:v>456.23</c:v>
                </c:pt>
                <c:pt idx="140">
                  <c:v>456.23</c:v>
                </c:pt>
                <c:pt idx="141">
                  <c:v>456.23</c:v>
                </c:pt>
                <c:pt idx="142">
                  <c:v>456.24</c:v>
                </c:pt>
                <c:pt idx="143">
                  <c:v>456.24</c:v>
                </c:pt>
                <c:pt idx="144">
                  <c:v>456.25</c:v>
                </c:pt>
                <c:pt idx="145">
                  <c:v>456.25</c:v>
                </c:pt>
                <c:pt idx="146">
                  <c:v>456.25</c:v>
                </c:pt>
                <c:pt idx="147">
                  <c:v>456.25</c:v>
                </c:pt>
                <c:pt idx="148">
                  <c:v>456.26</c:v>
                </c:pt>
                <c:pt idx="149">
                  <c:v>456.27</c:v>
                </c:pt>
                <c:pt idx="150">
                  <c:v>456.28</c:v>
                </c:pt>
                <c:pt idx="151">
                  <c:v>456.28</c:v>
                </c:pt>
                <c:pt idx="152">
                  <c:v>456.28</c:v>
                </c:pt>
                <c:pt idx="153">
                  <c:v>456.29</c:v>
                </c:pt>
                <c:pt idx="154">
                  <c:v>456.29</c:v>
                </c:pt>
                <c:pt idx="156">
                  <c:v>456.3</c:v>
                </c:pt>
                <c:pt idx="157">
                  <c:v>456.31</c:v>
                </c:pt>
                <c:pt idx="158">
                  <c:v>456.33</c:v>
                </c:pt>
                <c:pt idx="159">
                  <c:v>456.34</c:v>
                </c:pt>
                <c:pt idx="160">
                  <c:v>456.35</c:v>
                </c:pt>
                <c:pt idx="161">
                  <c:v>456.36</c:v>
                </c:pt>
                <c:pt idx="162">
                  <c:v>456.37</c:v>
                </c:pt>
                <c:pt idx="163">
                  <c:v>456.38</c:v>
                </c:pt>
                <c:pt idx="164">
                  <c:v>456.39</c:v>
                </c:pt>
                <c:pt idx="165">
                  <c:v>456.4</c:v>
                </c:pt>
                <c:pt idx="166">
                  <c:v>456.41</c:v>
                </c:pt>
                <c:pt idx="167">
                  <c:v>456.42</c:v>
                </c:pt>
                <c:pt idx="168">
                  <c:v>456.43</c:v>
                </c:pt>
                <c:pt idx="169">
                  <c:v>456.44</c:v>
                </c:pt>
                <c:pt idx="170">
                  <c:v>456.45</c:v>
                </c:pt>
                <c:pt idx="171">
                  <c:v>456.47</c:v>
                </c:pt>
                <c:pt idx="172">
                  <c:v>456.49</c:v>
                </c:pt>
                <c:pt idx="173">
                  <c:v>456.51</c:v>
                </c:pt>
                <c:pt idx="174">
                  <c:v>456.53</c:v>
                </c:pt>
                <c:pt idx="175">
                  <c:v>456.54</c:v>
                </c:pt>
                <c:pt idx="176">
                  <c:v>456.55</c:v>
                </c:pt>
                <c:pt idx="177">
                  <c:v>456.57</c:v>
                </c:pt>
                <c:pt idx="178">
                  <c:v>456.57</c:v>
                </c:pt>
                <c:pt idx="179">
                  <c:v>456.58</c:v>
                </c:pt>
                <c:pt idx="180">
                  <c:v>456.58</c:v>
                </c:pt>
                <c:pt idx="181">
                  <c:v>456.6</c:v>
                </c:pt>
                <c:pt idx="182">
                  <c:v>456.63</c:v>
                </c:pt>
                <c:pt idx="183">
                  <c:v>456.65</c:v>
                </c:pt>
                <c:pt idx="184">
                  <c:v>456.67</c:v>
                </c:pt>
                <c:pt idx="185">
                  <c:v>456.68</c:v>
                </c:pt>
                <c:pt idx="186">
                  <c:v>456.69</c:v>
                </c:pt>
                <c:pt idx="187">
                  <c:v>456.7</c:v>
                </c:pt>
                <c:pt idx="188">
                  <c:v>456.71</c:v>
                </c:pt>
                <c:pt idx="189">
                  <c:v>456.73</c:v>
                </c:pt>
                <c:pt idx="190">
                  <c:v>456.76</c:v>
                </c:pt>
                <c:pt idx="191">
                  <c:v>456.76</c:v>
                </c:pt>
                <c:pt idx="192">
                  <c:v>456.77</c:v>
                </c:pt>
                <c:pt idx="193">
                  <c:v>456.78</c:v>
                </c:pt>
                <c:pt idx="194">
                  <c:v>456.79</c:v>
                </c:pt>
                <c:pt idx="196">
                  <c:v>456.8</c:v>
                </c:pt>
                <c:pt idx="197">
                  <c:v>456.81</c:v>
                </c:pt>
                <c:pt idx="198">
                  <c:v>456.82</c:v>
                </c:pt>
                <c:pt idx="199">
                  <c:v>456.83</c:v>
                </c:pt>
                <c:pt idx="200">
                  <c:v>456.85</c:v>
                </c:pt>
                <c:pt idx="201">
                  <c:v>456.87</c:v>
                </c:pt>
                <c:pt idx="202">
                  <c:v>456.88</c:v>
                </c:pt>
                <c:pt idx="203">
                  <c:v>456.89</c:v>
                </c:pt>
                <c:pt idx="204">
                  <c:v>456.9</c:v>
                </c:pt>
                <c:pt idx="205">
                  <c:v>456.91</c:v>
                </c:pt>
                <c:pt idx="206">
                  <c:v>456.92</c:v>
                </c:pt>
                <c:pt idx="207">
                  <c:v>456.92</c:v>
                </c:pt>
                <c:pt idx="208">
                  <c:v>456.92</c:v>
                </c:pt>
                <c:pt idx="209">
                  <c:v>456.92</c:v>
                </c:pt>
                <c:pt idx="210">
                  <c:v>456.93</c:v>
                </c:pt>
                <c:pt idx="211">
                  <c:v>456.94</c:v>
                </c:pt>
                <c:pt idx="212">
                  <c:v>456.95</c:v>
                </c:pt>
                <c:pt idx="213">
                  <c:v>456.96</c:v>
                </c:pt>
                <c:pt idx="214">
                  <c:v>456.97</c:v>
                </c:pt>
                <c:pt idx="215">
                  <c:v>456.98</c:v>
                </c:pt>
                <c:pt idx="216">
                  <c:v>456.99</c:v>
                </c:pt>
                <c:pt idx="217">
                  <c:v>456.99</c:v>
                </c:pt>
                <c:pt idx="218">
                  <c:v>456.99</c:v>
                </c:pt>
                <c:pt idx="219">
                  <c:v>457</c:v>
                </c:pt>
                <c:pt idx="220">
                  <c:v>457.01</c:v>
                </c:pt>
                <c:pt idx="221">
                  <c:v>457.01</c:v>
                </c:pt>
                <c:pt idx="222">
                  <c:v>457.02</c:v>
                </c:pt>
                <c:pt idx="223">
                  <c:v>457.02</c:v>
                </c:pt>
                <c:pt idx="224">
                  <c:v>457.03</c:v>
                </c:pt>
                <c:pt idx="225">
                  <c:v>457.03</c:v>
                </c:pt>
                <c:pt idx="226">
                  <c:v>457.02</c:v>
                </c:pt>
                <c:pt idx="227">
                  <c:v>457.04</c:v>
                </c:pt>
                <c:pt idx="228">
                  <c:v>457.04</c:v>
                </c:pt>
                <c:pt idx="229">
                  <c:v>457.05</c:v>
                </c:pt>
                <c:pt idx="230">
                  <c:v>457.07</c:v>
                </c:pt>
                <c:pt idx="231">
                  <c:v>457.08</c:v>
                </c:pt>
                <c:pt idx="232">
                  <c:v>457.09</c:v>
                </c:pt>
                <c:pt idx="233">
                  <c:v>457.1</c:v>
                </c:pt>
                <c:pt idx="234">
                  <c:v>457.11</c:v>
                </c:pt>
                <c:pt idx="235">
                  <c:v>457.12</c:v>
                </c:pt>
                <c:pt idx="236">
                  <c:v>457.12</c:v>
                </c:pt>
                <c:pt idx="237">
                  <c:v>457.13</c:v>
                </c:pt>
                <c:pt idx="238">
                  <c:v>457.13</c:v>
                </c:pt>
                <c:pt idx="239">
                  <c:v>457.13</c:v>
                </c:pt>
                <c:pt idx="240">
                  <c:v>457.13</c:v>
                </c:pt>
                <c:pt idx="241">
                  <c:v>457.14</c:v>
                </c:pt>
                <c:pt idx="242">
                  <c:v>457.15</c:v>
                </c:pt>
                <c:pt idx="243">
                  <c:v>457.16</c:v>
                </c:pt>
                <c:pt idx="244">
                  <c:v>457.16</c:v>
                </c:pt>
                <c:pt idx="245">
                  <c:v>457.17</c:v>
                </c:pt>
                <c:pt idx="246">
                  <c:v>457.17</c:v>
                </c:pt>
                <c:pt idx="247">
                  <c:v>457.17</c:v>
                </c:pt>
                <c:pt idx="248">
                  <c:v>457.17</c:v>
                </c:pt>
                <c:pt idx="249">
                  <c:v>457.18</c:v>
                </c:pt>
                <c:pt idx="250">
                  <c:v>457.19</c:v>
                </c:pt>
                <c:pt idx="251">
                  <c:v>457.19</c:v>
                </c:pt>
                <c:pt idx="252">
                  <c:v>457.19</c:v>
                </c:pt>
                <c:pt idx="253">
                  <c:v>457.19</c:v>
                </c:pt>
                <c:pt idx="254">
                  <c:v>457.19</c:v>
                </c:pt>
                <c:pt idx="255">
                  <c:v>457.2</c:v>
                </c:pt>
                <c:pt idx="256">
                  <c:v>457.2</c:v>
                </c:pt>
                <c:pt idx="257">
                  <c:v>457.2</c:v>
                </c:pt>
                <c:pt idx="258">
                  <c:v>457.2</c:v>
                </c:pt>
                <c:pt idx="259">
                  <c:v>457.21</c:v>
                </c:pt>
                <c:pt idx="260">
                  <c:v>457.21</c:v>
                </c:pt>
                <c:pt idx="261">
                  <c:v>457.21</c:v>
                </c:pt>
                <c:pt idx="262">
                  <c:v>457.21</c:v>
                </c:pt>
                <c:pt idx="263">
                  <c:v>457.22</c:v>
                </c:pt>
                <c:pt idx="264">
                  <c:v>457.23</c:v>
                </c:pt>
                <c:pt idx="265">
                  <c:v>457.23</c:v>
                </c:pt>
                <c:pt idx="266">
                  <c:v>457.23</c:v>
                </c:pt>
                <c:pt idx="267">
                  <c:v>457.23</c:v>
                </c:pt>
                <c:pt idx="268">
                  <c:v>457.23</c:v>
                </c:pt>
                <c:pt idx="269">
                  <c:v>457.23</c:v>
                </c:pt>
                <c:pt idx="270">
                  <c:v>457.23</c:v>
                </c:pt>
                <c:pt idx="271">
                  <c:v>457.22</c:v>
                </c:pt>
                <c:pt idx="272">
                  <c:v>457.22</c:v>
                </c:pt>
                <c:pt idx="273">
                  <c:v>457.22</c:v>
                </c:pt>
                <c:pt idx="274">
                  <c:v>457.22</c:v>
                </c:pt>
                <c:pt idx="275">
                  <c:v>457.21</c:v>
                </c:pt>
                <c:pt idx="276">
                  <c:v>457.21</c:v>
                </c:pt>
                <c:pt idx="277">
                  <c:v>457.21</c:v>
                </c:pt>
                <c:pt idx="278">
                  <c:v>457.21</c:v>
                </c:pt>
                <c:pt idx="279">
                  <c:v>457.21</c:v>
                </c:pt>
                <c:pt idx="280">
                  <c:v>457.21</c:v>
                </c:pt>
                <c:pt idx="281">
                  <c:v>457.21</c:v>
                </c:pt>
                <c:pt idx="282">
                  <c:v>457.21</c:v>
                </c:pt>
                <c:pt idx="283">
                  <c:v>457.21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F46E-47A0-8D6F-A9F124A7918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06590976"/>
        <c:axId val="106592512"/>
      </c:lineChart>
      <c:catAx>
        <c:axId val="10659097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06592512"/>
        <c:crosses val="autoZero"/>
        <c:auto val="1"/>
        <c:lblAlgn val="ctr"/>
        <c:lblOffset val="100"/>
        <c:noMultiLvlLbl val="0"/>
      </c:catAx>
      <c:valAx>
        <c:axId val="106592512"/>
        <c:scaling>
          <c:orientation val="minMax"/>
          <c:max val="457.6"/>
          <c:min val="456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spPr>
          <a:ln cmpd="sng">
            <a:solidFill>
              <a:srgbClr val="00B050">
                <a:alpha val="47000"/>
              </a:srgbClr>
            </a:solidFill>
          </a:ln>
        </c:spPr>
        <c:txPr>
          <a:bodyPr/>
          <a:lstStyle/>
          <a:p>
            <a:pPr>
              <a:defRPr baseline="0">
                <a:solidFill>
                  <a:sysClr val="windowText" lastClr="000000"/>
                </a:solidFill>
                <a:latin typeface="Arial Black" pitchFamily="34" charset="0"/>
              </a:defRPr>
            </a:pPr>
            <a:endParaRPr lang="ru-RU"/>
          </a:p>
        </c:txPr>
        <c:crossAx val="10659097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  <c:userShapes r:id="rId2"/>
</c:chartSpace>
</file>

<file path=word/drawing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0.0929</cdr:x>
      <cdr:y>0.259</cdr:y>
    </cdr:from>
    <cdr:to>
      <cdr:x>0.71809</cdr:x>
      <cdr:y>0.34201</cdr:y>
    </cdr:to>
    <cdr:sp macro="" textlink="">
      <cdr:nvSpPr>
        <cdr:cNvPr id="2" name="Прямоугольник 1">
          <a:extLst xmlns:a="http://schemas.openxmlformats.org/drawingml/2006/main">
            <a:ext uri="{FF2B5EF4-FFF2-40B4-BE49-F238E27FC236}">
              <a16:creationId xmlns="" xmlns:a16="http://schemas.microsoft.com/office/drawing/2014/main" id="{5E1276DA-2B6D-4CEB-A993-4A3B3AE6D143}"/>
            </a:ext>
          </a:extLst>
        </cdr:cNvPr>
        <cdr:cNvSpPr/>
      </cdr:nvSpPr>
      <cdr:spPr>
        <a:xfrm xmlns:a="http://schemas.openxmlformats.org/drawingml/2006/main">
          <a:off x="609215" y="2481055"/>
          <a:ext cx="4099843" cy="795145"/>
        </a:xfrm>
        <a:prstGeom xmlns:a="http://schemas.openxmlformats.org/drawingml/2006/main" prst="rect">
          <a:avLst/>
        </a:prstGeom>
        <a:solidFill xmlns:a="http://schemas.openxmlformats.org/drawingml/2006/main">
          <a:schemeClr val="tx2">
            <a:lumMod val="60000"/>
            <a:lumOff val="40000"/>
            <a:alpha val="49000"/>
          </a:schemeClr>
        </a:solidFill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ru-RU">
            <a:ln>
              <a:solidFill>
                <a:schemeClr val="bg1"/>
              </a:solidFill>
            </a:ln>
            <a:solidFill>
              <a:schemeClr val="bg1"/>
            </a:solidFill>
          </a:endParaRPr>
        </a:p>
      </cdr:txBody>
    </cdr:sp>
  </cdr:relSizeAnchor>
  <cdr:relSizeAnchor xmlns:cdr="http://schemas.openxmlformats.org/drawingml/2006/chartDrawing">
    <cdr:from>
      <cdr:x>0.08417</cdr:x>
      <cdr:y>0.35508</cdr:y>
    </cdr:from>
    <cdr:to>
      <cdr:x>0.9726</cdr:x>
      <cdr:y>0.35508</cdr:y>
    </cdr:to>
    <cdr:sp macro="" textlink="">
      <cdr:nvSpPr>
        <cdr:cNvPr id="3" name="Прямая соединительная линия 2"/>
        <cdr:cNvSpPr/>
      </cdr:nvSpPr>
      <cdr:spPr>
        <a:xfrm xmlns:a="http://schemas.openxmlformats.org/drawingml/2006/main">
          <a:off x="549175" y="3267122"/>
          <a:ext cx="5796672" cy="0"/>
        </a:xfrm>
        <a:prstGeom xmlns:a="http://schemas.openxmlformats.org/drawingml/2006/main" prst="line">
          <a:avLst/>
        </a:prstGeom>
        <a:ln xmlns:a="http://schemas.openxmlformats.org/drawingml/2006/main" w="28575">
          <a:solidFill>
            <a:srgbClr val="FF0000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0.00148</cdr:x>
      <cdr:y>0.33799</cdr:y>
    </cdr:from>
    <cdr:to>
      <cdr:x>0.06952</cdr:x>
      <cdr:y>0.3771</cdr:y>
    </cdr:to>
    <cdr:sp macro="" textlink="">
      <cdr:nvSpPr>
        <cdr:cNvPr id="5" name="TextBox 4"/>
        <cdr:cNvSpPr txBox="1"/>
      </cdr:nvSpPr>
      <cdr:spPr>
        <a:xfrm xmlns:a="http://schemas.openxmlformats.org/drawingml/2006/main">
          <a:off x="9525" y="1152525"/>
          <a:ext cx="438775" cy="1333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r>
            <a:rPr lang="ru-RU" sz="1100">
              <a:solidFill>
                <a:srgbClr val="C00000"/>
              </a:solidFill>
            </a:rPr>
            <a:t>456,98</a:t>
          </a:r>
        </a:p>
      </cdr:txBody>
    </cdr:sp>
  </cdr:relSizeAnchor>
  <cdr:relSizeAnchor xmlns:cdr="http://schemas.openxmlformats.org/drawingml/2006/chartDrawing">
    <cdr:from>
      <cdr:x>0.79201</cdr:x>
      <cdr:y>0.34085</cdr:y>
    </cdr:from>
    <cdr:to>
      <cdr:x>0.98671</cdr:x>
      <cdr:y>0.40584</cdr:y>
    </cdr:to>
    <cdr:sp macro="" textlink="">
      <cdr:nvSpPr>
        <cdr:cNvPr id="6" name="TextBox 5"/>
        <cdr:cNvSpPr txBox="1"/>
      </cdr:nvSpPr>
      <cdr:spPr>
        <a:xfrm xmlns:a="http://schemas.openxmlformats.org/drawingml/2006/main">
          <a:off x="5167568" y="2447924"/>
          <a:ext cx="1270345" cy="4667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r>
            <a:rPr lang="ru-RU" sz="1110" baseline="0">
              <a:solidFill>
                <a:srgbClr val="C00000"/>
              </a:solidFill>
              <a:latin typeface="Arial Black" pitchFamily="34" charset="0"/>
            </a:rPr>
            <a:t>Нижний</a:t>
          </a:r>
          <a:r>
            <a:rPr lang="ru-RU" sz="800">
              <a:solidFill>
                <a:srgbClr val="C00000"/>
              </a:solidFill>
            </a:rPr>
            <a:t> </a:t>
          </a:r>
          <a:r>
            <a:rPr lang="ru-RU" sz="860" baseline="0">
              <a:solidFill>
                <a:srgbClr val="C00000"/>
              </a:solidFill>
              <a:latin typeface="Arial Black" pitchFamily="34" charset="0"/>
            </a:rPr>
            <a:t>предел</a:t>
          </a:r>
        </a:p>
      </cdr:txBody>
    </cdr:sp>
  </cdr:relSizeAnchor>
  <cdr:relSizeAnchor xmlns:cdr="http://schemas.openxmlformats.org/drawingml/2006/chartDrawing">
    <cdr:from>
      <cdr:x>0</cdr:x>
      <cdr:y>0</cdr:y>
    </cdr:from>
    <cdr:to>
      <cdr:x>0.00353</cdr:x>
      <cdr:y>0.00651</cdr:y>
    </cdr:to>
    <cdr:pic>
      <cdr:nvPicPr>
        <cdr:cNvPr id="7" name="chart">
          <a:extLst xmlns:a="http://schemas.openxmlformats.org/drawingml/2006/main">
            <a:ext uri="{FF2B5EF4-FFF2-40B4-BE49-F238E27FC236}">
              <a16:creationId xmlns="" xmlns:a16="http://schemas.microsoft.com/office/drawing/2014/main" id="{CF5F7D9A-01A4-4E91-880C-362A5FBC9433}"/>
            </a:ext>
          </a:extLst>
        </cdr:cNvPr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0" y="0"/>
          <a:ext cx="24386" cy="24386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0.79339</cdr:x>
      <cdr:y>0.32816</cdr:y>
    </cdr:from>
    <cdr:to>
      <cdr:x>0.92562</cdr:x>
      <cdr:y>0.34615</cdr:y>
    </cdr:to>
    <cdr:sp macro="" textlink="">
      <cdr:nvSpPr>
        <cdr:cNvPr id="8" name="TextBox 1"/>
        <cdr:cNvSpPr txBox="1"/>
      </cdr:nvSpPr>
      <cdr:spPr>
        <a:xfrm xmlns:a="http://schemas.openxmlformats.org/drawingml/2006/main">
          <a:off x="5176572" y="3019425"/>
          <a:ext cx="862751" cy="16558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r>
            <a:rPr lang="ru-RU" sz="1100">
              <a:solidFill>
                <a:srgbClr val="00B050"/>
              </a:solidFill>
              <a:latin typeface="Arial Black" pitchFamily="34" charset="0"/>
            </a:rPr>
            <a:t>Рабочий</a:t>
          </a:r>
          <a:r>
            <a:rPr lang="ru-RU" sz="1100" baseline="0">
              <a:solidFill>
                <a:srgbClr val="00B050"/>
              </a:solidFill>
              <a:latin typeface="Arial Black" pitchFamily="34" charset="0"/>
            </a:rPr>
            <a:t> уровень</a:t>
          </a:r>
          <a:endParaRPr lang="ru-RU" sz="1100">
            <a:solidFill>
              <a:srgbClr val="00B050"/>
            </a:solidFill>
            <a:latin typeface="Arial Black" pitchFamily="34" charset="0"/>
          </a:endParaRPr>
        </a:p>
      </cdr:txBody>
    </cdr:sp>
  </cdr:relSizeAnchor>
  <cdr:relSizeAnchor xmlns:cdr="http://schemas.openxmlformats.org/drawingml/2006/chartDrawing">
    <cdr:from>
      <cdr:x>0.08331</cdr:x>
      <cdr:y>0.26052</cdr:y>
    </cdr:from>
    <cdr:to>
      <cdr:x>0.98001</cdr:x>
      <cdr:y>0.26052</cdr:y>
    </cdr:to>
    <cdr:sp macro="" textlink="">
      <cdr:nvSpPr>
        <cdr:cNvPr id="10" name="Прямая соединительная линия 9" descr="Нижний предел"/>
        <cdr:cNvSpPr/>
      </cdr:nvSpPr>
      <cdr:spPr>
        <a:xfrm xmlns:a="http://schemas.openxmlformats.org/drawingml/2006/main" flipV="1">
          <a:off x="546340" y="2495546"/>
          <a:ext cx="5880339" cy="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28575" cap="flat" cmpd="sng" algn="ctr">
          <a:solidFill>
            <a:srgbClr val="00B0F0"/>
          </a:solidFill>
          <a:prstDash val="solid"/>
        </a:ln>
        <a:effectLst xmlns:a="http://schemas.openxmlformats.org/drawingml/2006/main"/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ysClr val="windowText" lastClr="000000"/>
              </a:solidFill>
              <a:latin typeface="Calibri"/>
            </a:defRPr>
          </a:lvl1pPr>
          <a:lvl2pPr marL="457200" indent="0">
            <a:defRPr sz="1100">
              <a:solidFill>
                <a:sysClr val="windowText" lastClr="000000"/>
              </a:solidFill>
              <a:latin typeface="Calibri"/>
            </a:defRPr>
          </a:lvl2pPr>
          <a:lvl3pPr marL="914400" indent="0">
            <a:defRPr sz="1100">
              <a:solidFill>
                <a:sysClr val="windowText" lastClr="000000"/>
              </a:solidFill>
              <a:latin typeface="Calibri"/>
            </a:defRPr>
          </a:lvl3pPr>
          <a:lvl4pPr marL="1371600" indent="0">
            <a:defRPr sz="1100">
              <a:solidFill>
                <a:sysClr val="windowText" lastClr="000000"/>
              </a:solidFill>
              <a:latin typeface="Calibri"/>
            </a:defRPr>
          </a:lvl4pPr>
          <a:lvl5pPr marL="1828800" indent="0">
            <a:defRPr sz="1100">
              <a:solidFill>
                <a:sysClr val="windowText" lastClr="000000"/>
              </a:solidFill>
              <a:latin typeface="Calibri"/>
            </a:defRPr>
          </a:lvl5pPr>
          <a:lvl6pPr marL="2286000" indent="0">
            <a:defRPr sz="1100">
              <a:solidFill>
                <a:sysClr val="windowText" lastClr="000000"/>
              </a:solidFill>
              <a:latin typeface="Calibri"/>
            </a:defRPr>
          </a:lvl6pPr>
          <a:lvl7pPr marL="2743200" indent="0">
            <a:defRPr sz="1100">
              <a:solidFill>
                <a:sysClr val="windowText" lastClr="000000"/>
              </a:solidFill>
              <a:latin typeface="Calibri"/>
            </a:defRPr>
          </a:lvl7pPr>
          <a:lvl8pPr marL="3200400" indent="0">
            <a:defRPr sz="1100">
              <a:solidFill>
                <a:sysClr val="windowText" lastClr="000000"/>
              </a:solidFill>
              <a:latin typeface="Calibri"/>
            </a:defRPr>
          </a:lvl8pPr>
          <a:lvl9pPr marL="3657600" indent="0">
            <a:defRPr sz="1100">
              <a:solidFill>
                <a:sysClr val="windowText" lastClr="000000"/>
              </a:solidFill>
              <a:latin typeface="Calibri"/>
            </a:defRPr>
          </a:lvl9pPr>
        </a:lstStyle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0.07018</cdr:x>
      <cdr:y>0.16867</cdr:y>
    </cdr:from>
    <cdr:to>
      <cdr:x>0.96826</cdr:x>
      <cdr:y>0.16867</cdr:y>
    </cdr:to>
    <cdr:sp macro="" textlink="">
      <cdr:nvSpPr>
        <cdr:cNvPr id="12" name="Прямая соединительная линия 11" descr="Нижний предел"/>
        <cdr:cNvSpPr/>
      </cdr:nvSpPr>
      <cdr:spPr>
        <a:xfrm xmlns:a="http://schemas.openxmlformats.org/drawingml/2006/main">
          <a:off x="459801" y="1592620"/>
          <a:ext cx="5884077" cy="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8100" cap="flat" cmpd="sng" algn="ctr">
          <a:solidFill>
            <a:srgbClr val="002060"/>
          </a:solidFill>
          <a:prstDash val="solid"/>
        </a:ln>
        <a:effectLst xmlns:a="http://schemas.openxmlformats.org/drawingml/2006/main"/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ysClr val="windowText" lastClr="000000"/>
              </a:solidFill>
              <a:latin typeface="Calibri"/>
            </a:defRPr>
          </a:lvl1pPr>
          <a:lvl2pPr marL="457200" indent="0">
            <a:defRPr sz="1100">
              <a:solidFill>
                <a:sysClr val="windowText" lastClr="000000"/>
              </a:solidFill>
              <a:latin typeface="Calibri"/>
            </a:defRPr>
          </a:lvl2pPr>
          <a:lvl3pPr marL="914400" indent="0">
            <a:defRPr sz="1100">
              <a:solidFill>
                <a:sysClr val="windowText" lastClr="000000"/>
              </a:solidFill>
              <a:latin typeface="Calibri"/>
            </a:defRPr>
          </a:lvl3pPr>
          <a:lvl4pPr marL="1371600" indent="0">
            <a:defRPr sz="1100">
              <a:solidFill>
                <a:sysClr val="windowText" lastClr="000000"/>
              </a:solidFill>
              <a:latin typeface="Calibri"/>
            </a:defRPr>
          </a:lvl4pPr>
          <a:lvl5pPr marL="1828800" indent="0">
            <a:defRPr sz="1100">
              <a:solidFill>
                <a:sysClr val="windowText" lastClr="000000"/>
              </a:solidFill>
              <a:latin typeface="Calibri"/>
            </a:defRPr>
          </a:lvl5pPr>
          <a:lvl6pPr marL="2286000" indent="0">
            <a:defRPr sz="1100">
              <a:solidFill>
                <a:sysClr val="windowText" lastClr="000000"/>
              </a:solidFill>
              <a:latin typeface="Calibri"/>
            </a:defRPr>
          </a:lvl6pPr>
          <a:lvl7pPr marL="2743200" indent="0">
            <a:defRPr sz="1100">
              <a:solidFill>
                <a:sysClr val="windowText" lastClr="000000"/>
              </a:solidFill>
              <a:latin typeface="Calibri"/>
            </a:defRPr>
          </a:lvl7pPr>
          <a:lvl8pPr marL="3200400" indent="0">
            <a:defRPr sz="1100">
              <a:solidFill>
                <a:sysClr val="windowText" lastClr="000000"/>
              </a:solidFill>
              <a:latin typeface="Calibri"/>
            </a:defRPr>
          </a:lvl8pPr>
          <a:lvl9pPr marL="3657600" indent="0">
            <a:defRPr sz="1100">
              <a:solidFill>
                <a:sysClr val="windowText" lastClr="000000"/>
              </a:solidFill>
              <a:latin typeface="Calibri"/>
            </a:defRPr>
          </a:lvl9pPr>
        </a:lstStyle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</cdr:x>
      <cdr:y>0</cdr:y>
    </cdr:from>
    <cdr:to>
      <cdr:x>0.00353</cdr:x>
      <cdr:y>0.00651</cdr:y>
    </cdr:to>
    <cdr:pic>
      <cdr:nvPicPr>
        <cdr:cNvPr id="15" name="chart">
          <a:extLst xmlns:a="http://schemas.openxmlformats.org/drawingml/2006/main">
            <a:ext uri="{FF2B5EF4-FFF2-40B4-BE49-F238E27FC236}">
              <a16:creationId xmlns="" xmlns:a16="http://schemas.microsoft.com/office/drawing/2014/main" id="{2CCDDBEE-3E68-4C13-9F2B-F7D18386D5E7}"/>
            </a:ext>
          </a:extLst>
        </cdr:cNvPr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0" y="0"/>
          <a:ext cx="24386" cy="24386"/>
        </a:xfrm>
        <a:prstGeom xmlns:a="http://schemas.openxmlformats.org/drawingml/2006/main" prst="rect">
          <a:avLst/>
        </a:prstGeom>
      </cdr:spPr>
    </cdr:pic>
  </cdr:relSizeAnchor>
  <cdr:relSizeAnchor xmlns:cdr="http://schemas.openxmlformats.org/drawingml/2006/chartDrawing">
    <cdr:from>
      <cdr:x>0.33265</cdr:x>
      <cdr:y>0.13017</cdr:y>
    </cdr:from>
    <cdr:to>
      <cdr:x>0.59104</cdr:x>
      <cdr:y>0.15698</cdr:y>
    </cdr:to>
    <cdr:sp macro="" textlink="">
      <cdr:nvSpPr>
        <cdr:cNvPr id="17" name="TextBox 16"/>
        <cdr:cNvSpPr txBox="1"/>
      </cdr:nvSpPr>
      <cdr:spPr>
        <a:xfrm xmlns:a="http://schemas.openxmlformats.org/drawingml/2006/main">
          <a:off x="2181437" y="1246947"/>
          <a:ext cx="1694459" cy="25676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r>
            <a:rPr lang="ru-RU" sz="1050">
              <a:latin typeface="Arial Black" pitchFamily="34" charset="0"/>
              <a:ea typeface="+mn-ea"/>
              <a:cs typeface="+mn-cs"/>
            </a:rPr>
            <a:t>Верхний предел уровня </a:t>
          </a:r>
          <a:endParaRPr lang="ru-RU" sz="1050">
            <a:latin typeface="Arial Black" pitchFamily="34" charset="0"/>
          </a:endParaRPr>
        </a:p>
      </cdr:txBody>
    </cdr:sp>
  </cdr:relSizeAnchor>
  <cdr:relSizeAnchor xmlns:cdr="http://schemas.openxmlformats.org/drawingml/2006/chartDrawing">
    <cdr:from>
      <cdr:x>0.00275</cdr:x>
      <cdr:y>0.28468</cdr:y>
    </cdr:from>
    <cdr:to>
      <cdr:x>0.073</cdr:x>
      <cdr:y>0.31781</cdr:y>
    </cdr:to>
    <cdr:sp macro="" textlink="">
      <cdr:nvSpPr>
        <cdr:cNvPr id="19" name="TextBox 1"/>
        <cdr:cNvSpPr txBox="1"/>
      </cdr:nvSpPr>
      <cdr:spPr>
        <a:xfrm xmlns:a="http://schemas.openxmlformats.org/drawingml/2006/main">
          <a:off x="17943" y="2619375"/>
          <a:ext cx="458355" cy="30479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r>
            <a:rPr lang="ru-RU" sz="1100"/>
            <a:t>457,10</a:t>
          </a:r>
        </a:p>
      </cdr:txBody>
    </cdr:sp>
  </cdr:relSizeAnchor>
  <cdr:relSizeAnchor xmlns:cdr="http://schemas.openxmlformats.org/drawingml/2006/chartDrawing">
    <cdr:from>
      <cdr:x>0.09107</cdr:x>
      <cdr:y>0.34391</cdr:y>
    </cdr:from>
    <cdr:to>
      <cdr:x>0.80238</cdr:x>
      <cdr:y>0.34471</cdr:y>
    </cdr:to>
    <cdr:sp macro="" textlink="">
      <cdr:nvSpPr>
        <cdr:cNvPr id="13" name="Прямая соединительная линия 12">
          <a:extLst xmlns:a="http://schemas.openxmlformats.org/drawingml/2006/main">
            <a:ext uri="{FF2B5EF4-FFF2-40B4-BE49-F238E27FC236}">
              <a16:creationId xmlns="" xmlns:a16="http://schemas.microsoft.com/office/drawing/2014/main" id="{B6D90FFB-A0E7-4101-A7F0-266B7F7B0E77}"/>
            </a:ext>
          </a:extLst>
        </cdr:cNvPr>
        <cdr:cNvSpPr/>
      </cdr:nvSpPr>
      <cdr:spPr>
        <a:xfrm xmlns:a="http://schemas.openxmlformats.org/drawingml/2006/main">
          <a:off x="592021" y="3202481"/>
          <a:ext cx="4624108" cy="7444"/>
        </a:xfrm>
        <a:prstGeom xmlns:a="http://schemas.openxmlformats.org/drawingml/2006/main" prst="line">
          <a:avLst/>
        </a:prstGeom>
        <a:ln xmlns:a="http://schemas.openxmlformats.org/drawingml/2006/main" w="28575">
          <a:solidFill>
            <a:srgbClr val="00B050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</cdr:x>
      <cdr:y>0.09868</cdr:y>
    </cdr:from>
    <cdr:to>
      <cdr:x>0.07025</cdr:x>
      <cdr:y>0.13181</cdr:y>
    </cdr:to>
    <cdr:sp macro="" textlink="">
      <cdr:nvSpPr>
        <cdr:cNvPr id="14" name="TextBox 1">
          <a:extLst xmlns:a="http://schemas.openxmlformats.org/drawingml/2006/main">
            <a:ext uri="{FF2B5EF4-FFF2-40B4-BE49-F238E27FC236}">
              <a16:creationId xmlns="" xmlns:a16="http://schemas.microsoft.com/office/drawing/2014/main" id="{97C4DC89-B22A-4004-B10B-28A7A0DF6197}"/>
            </a:ext>
          </a:extLst>
        </cdr:cNvPr>
        <cdr:cNvSpPr txBox="1"/>
      </cdr:nvSpPr>
      <cdr:spPr>
        <a:xfrm xmlns:a="http://schemas.openxmlformats.org/drawingml/2006/main">
          <a:off x="0" y="945321"/>
          <a:ext cx="460682" cy="31736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1100"/>
            <a:t>457,54</a:t>
          </a:r>
        </a:p>
      </cdr:txBody>
    </cdr:sp>
  </cdr:relSizeAnchor>
  <cdr:relSizeAnchor xmlns:cdr="http://schemas.openxmlformats.org/drawingml/2006/chartDrawing">
    <cdr:from>
      <cdr:x>0.72415</cdr:x>
      <cdr:y>0.30447</cdr:y>
    </cdr:from>
    <cdr:to>
      <cdr:x>1</cdr:x>
      <cdr:y>0.32988</cdr:y>
    </cdr:to>
    <cdr:sp macro="" textlink="">
      <cdr:nvSpPr>
        <cdr:cNvPr id="16" name="TextBox 1">
          <a:extLst xmlns:a="http://schemas.openxmlformats.org/drawingml/2006/main">
            <a:ext uri="{FF2B5EF4-FFF2-40B4-BE49-F238E27FC236}">
              <a16:creationId xmlns="" xmlns:a16="http://schemas.microsoft.com/office/drawing/2014/main" id="{7C7790BA-83D3-403E-885B-36BDE8CE3FC3}"/>
            </a:ext>
          </a:extLst>
        </cdr:cNvPr>
        <cdr:cNvSpPr txBox="1"/>
      </cdr:nvSpPr>
      <cdr:spPr>
        <a:xfrm xmlns:a="http://schemas.openxmlformats.org/drawingml/2006/main">
          <a:off x="4748798" y="2916595"/>
          <a:ext cx="1808957" cy="24340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1100">
              <a:solidFill>
                <a:srgbClr val="0070C0"/>
              </a:solidFill>
              <a:latin typeface="Arial Black" pitchFamily="34" charset="0"/>
            </a:rPr>
            <a:t>Рабочая зона</a:t>
          </a:r>
        </a:p>
      </cdr:txBody>
    </cdr:sp>
  </cdr:relSizeAnchor>
  <cdr:relSizeAnchor xmlns:cdr="http://schemas.openxmlformats.org/drawingml/2006/chartDrawing">
    <cdr:from>
      <cdr:x>0.09111</cdr:x>
      <cdr:y>0.80077</cdr:y>
    </cdr:from>
    <cdr:to>
      <cdr:x>0.71728</cdr:x>
      <cdr:y>0.80099</cdr:y>
    </cdr:to>
    <cdr:sp macro="" textlink="">
      <cdr:nvSpPr>
        <cdr:cNvPr id="21" name="Прямая соединительная линия 20">
          <a:extLst xmlns:a="http://schemas.openxmlformats.org/drawingml/2006/main">
            <a:ext uri="{FF2B5EF4-FFF2-40B4-BE49-F238E27FC236}">
              <a16:creationId xmlns="" xmlns:a16="http://schemas.microsoft.com/office/drawing/2014/main" id="{2DE60437-CD32-4BCC-97EA-24F4D26CA7C6}"/>
            </a:ext>
          </a:extLst>
        </cdr:cNvPr>
        <cdr:cNvSpPr/>
      </cdr:nvSpPr>
      <cdr:spPr>
        <a:xfrm xmlns:a="http://schemas.openxmlformats.org/drawingml/2006/main" flipV="1">
          <a:off x="597452" y="7670800"/>
          <a:ext cx="4106310" cy="2080"/>
        </a:xfrm>
        <a:prstGeom xmlns:a="http://schemas.openxmlformats.org/drawingml/2006/main" prst="line">
          <a:avLst/>
        </a:prstGeom>
        <a:ln xmlns:a="http://schemas.openxmlformats.org/drawingml/2006/main" w="57150">
          <a:solidFill>
            <a:srgbClr val="C00000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0.72415</cdr:x>
      <cdr:y>0.71777</cdr:y>
    </cdr:from>
    <cdr:to>
      <cdr:x>1</cdr:x>
      <cdr:y>0.74318</cdr:y>
    </cdr:to>
    <cdr:sp macro="" textlink="">
      <cdr:nvSpPr>
        <cdr:cNvPr id="23" name="TextBox 1">
          <a:extLst xmlns:a="http://schemas.openxmlformats.org/drawingml/2006/main">
            <a:ext uri="{FF2B5EF4-FFF2-40B4-BE49-F238E27FC236}">
              <a16:creationId xmlns="" xmlns:a16="http://schemas.microsoft.com/office/drawing/2014/main" id="{FDC3C9DF-BD3D-4F14-8AB8-2165CDBB5787}"/>
            </a:ext>
          </a:extLst>
        </cdr:cNvPr>
        <cdr:cNvSpPr txBox="1"/>
      </cdr:nvSpPr>
      <cdr:spPr>
        <a:xfrm xmlns:a="http://schemas.openxmlformats.org/drawingml/2006/main">
          <a:off x="4748798" y="6875670"/>
          <a:ext cx="1808957" cy="24340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ru-RU" sz="1100">
            <a:solidFill>
              <a:srgbClr val="C00000"/>
            </a:solidFill>
            <a:latin typeface="Arial Black" pitchFamily="34" charset="0"/>
          </a:endParaRPr>
        </a:p>
      </cdr:txBody>
    </cdr:sp>
  </cdr:relSizeAnchor>
  <cdr:relSizeAnchor xmlns:cdr="http://schemas.openxmlformats.org/drawingml/2006/chartDrawing">
    <cdr:from>
      <cdr:x>0.72415</cdr:x>
      <cdr:y>0.78521</cdr:y>
    </cdr:from>
    <cdr:to>
      <cdr:x>1</cdr:x>
      <cdr:y>0.81062</cdr:y>
    </cdr:to>
    <cdr:sp macro="" textlink="">
      <cdr:nvSpPr>
        <cdr:cNvPr id="24" name="TextBox 1">
          <a:extLst xmlns:a="http://schemas.openxmlformats.org/drawingml/2006/main">
            <a:ext uri="{FF2B5EF4-FFF2-40B4-BE49-F238E27FC236}">
              <a16:creationId xmlns="" xmlns:a16="http://schemas.microsoft.com/office/drawing/2014/main" id="{442AE02B-FD50-4D9C-8C4B-6EDB6AB13193}"/>
            </a:ext>
          </a:extLst>
        </cdr:cNvPr>
        <cdr:cNvSpPr txBox="1"/>
      </cdr:nvSpPr>
      <cdr:spPr>
        <a:xfrm xmlns:a="http://schemas.openxmlformats.org/drawingml/2006/main">
          <a:off x="4748798" y="7521713"/>
          <a:ext cx="1808957" cy="24340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1100">
              <a:solidFill>
                <a:srgbClr val="C00000"/>
              </a:solidFill>
              <a:latin typeface="Arial Black" pitchFamily="34" charset="0"/>
            </a:rPr>
            <a:t>Уровень Мертвого </a:t>
          </a:r>
        </a:p>
        <a:p xmlns:a="http://schemas.openxmlformats.org/drawingml/2006/main">
          <a:r>
            <a:rPr lang="ru-RU" sz="1100">
              <a:solidFill>
                <a:srgbClr val="C00000"/>
              </a:solidFill>
              <a:latin typeface="Arial Black" pitchFamily="34" charset="0"/>
            </a:rPr>
            <a:t>остатка</a:t>
          </a:r>
        </a:p>
      </cdr:txBody>
    </cdr:sp>
  </cdr:relSizeAnchor>
  <cdr:relSizeAnchor xmlns:cdr="http://schemas.openxmlformats.org/drawingml/2006/chartDrawing">
    <cdr:from>
      <cdr:x>0.72009</cdr:x>
      <cdr:y>0.20504</cdr:y>
    </cdr:from>
    <cdr:to>
      <cdr:x>0.99594</cdr:x>
      <cdr:y>0.23044</cdr:y>
    </cdr:to>
    <cdr:sp macro="" textlink="">
      <cdr:nvSpPr>
        <cdr:cNvPr id="22" name="TextBox 1">
          <a:extLst xmlns:a="http://schemas.openxmlformats.org/drawingml/2006/main">
            <a:ext uri="{FF2B5EF4-FFF2-40B4-BE49-F238E27FC236}">
              <a16:creationId xmlns="" xmlns:a16="http://schemas.microsoft.com/office/drawing/2014/main" id="{BFC0D58E-EF39-489D-8DA6-B26898EB3482}"/>
            </a:ext>
          </a:extLst>
        </cdr:cNvPr>
        <cdr:cNvSpPr txBox="1"/>
      </cdr:nvSpPr>
      <cdr:spPr>
        <a:xfrm xmlns:a="http://schemas.openxmlformats.org/drawingml/2006/main">
          <a:off x="4722192" y="1964082"/>
          <a:ext cx="1808957" cy="24340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1100">
              <a:solidFill>
                <a:schemeClr val="accent5">
                  <a:lumMod val="75000"/>
                </a:schemeClr>
              </a:solidFill>
              <a:latin typeface="Arial Black" pitchFamily="34" charset="0"/>
            </a:rPr>
            <a:t>Буферная зона</a:t>
          </a:r>
        </a:p>
      </cdr:txBody>
    </cdr:sp>
  </cdr:relSizeAnchor>
  <cdr:relSizeAnchor xmlns:cdr="http://schemas.openxmlformats.org/drawingml/2006/chartDrawing">
    <cdr:from>
      <cdr:x>0.09237</cdr:x>
      <cdr:y>0.17477</cdr:y>
    </cdr:from>
    <cdr:to>
      <cdr:x>0.71756</cdr:x>
      <cdr:y>0.25778</cdr:y>
    </cdr:to>
    <cdr:sp macro="" textlink="">
      <cdr:nvSpPr>
        <cdr:cNvPr id="27" name="Прямоугольник 26">
          <a:extLst xmlns:a="http://schemas.openxmlformats.org/drawingml/2006/main">
            <a:ext uri="{FF2B5EF4-FFF2-40B4-BE49-F238E27FC236}">
              <a16:creationId xmlns="" xmlns:a16="http://schemas.microsoft.com/office/drawing/2014/main" id="{CD47F57C-07D1-456A-85F9-0831A3D35452}"/>
            </a:ext>
          </a:extLst>
        </cdr:cNvPr>
        <cdr:cNvSpPr/>
      </cdr:nvSpPr>
      <cdr:spPr>
        <a:xfrm xmlns:a="http://schemas.openxmlformats.org/drawingml/2006/main">
          <a:off x="605735" y="1674191"/>
          <a:ext cx="4099843" cy="795145"/>
        </a:xfrm>
        <a:prstGeom xmlns:a="http://schemas.openxmlformats.org/drawingml/2006/main" prst="rect">
          <a:avLst/>
        </a:prstGeom>
        <a:solidFill xmlns:a="http://schemas.openxmlformats.org/drawingml/2006/main">
          <a:schemeClr val="accent5">
            <a:lumMod val="75000"/>
            <a:alpha val="49000"/>
          </a:schemeClr>
        </a:solidFill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ru-RU">
            <a:ln>
              <a:solidFill>
                <a:schemeClr val="bg1"/>
              </a:solidFill>
            </a:ln>
            <a:solidFill>
              <a:schemeClr val="bg1"/>
            </a:solidFill>
          </a:endParaRPr>
        </a:p>
      </cdr:txBody>
    </cdr:sp>
  </cdr:relSizeAnchor>
  <cdr:relSizeAnchor xmlns:cdr="http://schemas.openxmlformats.org/drawingml/2006/chartDrawing">
    <cdr:from>
      <cdr:x>0.09237</cdr:x>
      <cdr:y>0.35808</cdr:y>
    </cdr:from>
    <cdr:to>
      <cdr:x>0.71756</cdr:x>
      <cdr:y>0.79681</cdr:y>
    </cdr:to>
    <cdr:sp macro="" textlink="">
      <cdr:nvSpPr>
        <cdr:cNvPr id="28" name="Прямоугольник 27">
          <a:extLst xmlns:a="http://schemas.openxmlformats.org/drawingml/2006/main">
            <a:ext uri="{FF2B5EF4-FFF2-40B4-BE49-F238E27FC236}">
              <a16:creationId xmlns="" xmlns:a16="http://schemas.microsoft.com/office/drawing/2014/main" id="{92C740A2-FF34-466D-987E-3E5867A31377}"/>
            </a:ext>
          </a:extLst>
        </cdr:cNvPr>
        <cdr:cNvSpPr/>
      </cdr:nvSpPr>
      <cdr:spPr>
        <a:xfrm xmlns:a="http://schemas.openxmlformats.org/drawingml/2006/main">
          <a:off x="605734" y="3430104"/>
          <a:ext cx="4099843" cy="4202734"/>
        </a:xfrm>
        <a:prstGeom xmlns:a="http://schemas.openxmlformats.org/drawingml/2006/main" prst="rect">
          <a:avLst/>
        </a:prstGeom>
        <a:solidFill xmlns:a="http://schemas.openxmlformats.org/drawingml/2006/main">
          <a:srgbClr val="FFC000">
            <a:alpha val="49000"/>
          </a:srgbClr>
        </a:solidFill>
        <a:ln xmlns:a="http://schemas.openxmlformats.org/drawingml/2006/main">
          <a:noFill/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ru-RU">
            <a:ln>
              <a:solidFill>
                <a:schemeClr val="bg1"/>
              </a:solidFill>
            </a:ln>
            <a:solidFill>
              <a:schemeClr val="bg1"/>
            </a:solidFill>
          </a:endParaRPr>
        </a:p>
      </cdr:txBody>
    </cdr:sp>
  </cdr:relSizeAnchor>
  <cdr:relSizeAnchor xmlns:cdr="http://schemas.openxmlformats.org/drawingml/2006/chartDrawing">
    <cdr:from>
      <cdr:x>0.73425</cdr:x>
      <cdr:y>0.40131</cdr:y>
    </cdr:from>
    <cdr:to>
      <cdr:x>0.92776</cdr:x>
      <cdr:y>0.42672</cdr:y>
    </cdr:to>
    <cdr:sp macro="" textlink="">
      <cdr:nvSpPr>
        <cdr:cNvPr id="29" name="TextBox 1">
          <a:extLst xmlns:a="http://schemas.openxmlformats.org/drawingml/2006/main">
            <a:ext uri="{FF2B5EF4-FFF2-40B4-BE49-F238E27FC236}">
              <a16:creationId xmlns="" xmlns:a16="http://schemas.microsoft.com/office/drawing/2014/main" id="{9FE731C6-ECB8-4688-A670-56833175E7EA}"/>
            </a:ext>
          </a:extLst>
        </cdr:cNvPr>
        <cdr:cNvSpPr txBox="1"/>
      </cdr:nvSpPr>
      <cdr:spPr>
        <a:xfrm xmlns:a="http://schemas.openxmlformats.org/drawingml/2006/main">
          <a:off x="4815060" y="3844235"/>
          <a:ext cx="1268932" cy="24340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1100">
              <a:solidFill>
                <a:schemeClr val="accent6">
                  <a:lumMod val="75000"/>
                </a:schemeClr>
              </a:solidFill>
              <a:latin typeface="Arial Black" pitchFamily="34" charset="0"/>
            </a:rPr>
            <a:t>Мертвая зона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B5743-3774-407A-8BC6-9313369BB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</dc:creator>
  <cp:keywords/>
  <dc:description/>
  <cp:lastModifiedBy>User</cp:lastModifiedBy>
  <cp:revision>3</cp:revision>
  <dcterms:created xsi:type="dcterms:W3CDTF">2021-10-12T12:20:00Z</dcterms:created>
  <dcterms:modified xsi:type="dcterms:W3CDTF">2021-10-12T12:22:00Z</dcterms:modified>
</cp:coreProperties>
</file>