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324" w:rsidRPr="007C0205" w:rsidRDefault="008E0324" w:rsidP="008E0324">
      <w:pPr>
        <w:jc w:val="center"/>
        <w:rPr>
          <w:b/>
          <w:sz w:val="28"/>
          <w:szCs w:val="28"/>
        </w:rPr>
      </w:pPr>
      <w:r w:rsidRPr="007C0205">
        <w:rPr>
          <w:b/>
          <w:sz w:val="28"/>
          <w:szCs w:val="28"/>
        </w:rPr>
        <w:t>Таблица 16.5 Занижение прибыли областных предприятий и налога на прибыль в консолидированный бюджет Иркутской области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701"/>
        <w:gridCol w:w="1701"/>
        <w:gridCol w:w="1417"/>
        <w:gridCol w:w="2410"/>
      </w:tblGrid>
      <w:tr w:rsidR="008E0324" w:rsidRPr="00936D45" w:rsidTr="00AD5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</w:t>
            </w:r>
            <w:r w:rsidRPr="00936D45">
              <w:rPr>
                <w:sz w:val="28"/>
                <w:szCs w:val="28"/>
              </w:rPr>
              <w:t>быль на 2006 г., млрд руб.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Причина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занижения</w:t>
            </w:r>
          </w:p>
        </w:tc>
      </w:tr>
      <w:tr w:rsidR="008E0324" w:rsidRPr="00936D45" w:rsidTr="00AD5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Отрасль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расчетам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данным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предприятий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Занижение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</w:p>
        </w:tc>
      </w:tr>
      <w:tr w:rsidR="008E0324" w:rsidRPr="00936D45" w:rsidTr="00AD5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6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Нефтеперерабатывающая промышленность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(выручка по расчетам - 74,3 млрд руб.</w:t>
            </w:r>
            <w:r>
              <w:rPr>
                <w:sz w:val="28"/>
                <w:szCs w:val="28"/>
              </w:rPr>
              <w:t xml:space="preserve">, </w:t>
            </w:r>
            <w:r w:rsidRPr="00936D45">
              <w:rPr>
                <w:sz w:val="28"/>
                <w:szCs w:val="28"/>
              </w:rPr>
              <w:t>по данным предприятий - 53,8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млрд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4,9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Использование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процессинга</w:t>
            </w:r>
          </w:p>
        </w:tc>
      </w:tr>
      <w:tr w:rsidR="008E0324" w:rsidRPr="00936D45" w:rsidTr="00AD5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9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Алюминиевая промышленность (выручка по расчетам —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64,4 млрд руб.,</w:t>
            </w:r>
            <w:r w:rsidRPr="00936D45">
              <w:rPr>
                <w:sz w:val="28"/>
                <w:szCs w:val="28"/>
              </w:rPr>
              <w:br/>
              <w:t>по данным предприятий — 26,6 млрд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11,7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6,0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 xml:space="preserve">Использование </w:t>
            </w:r>
            <w:proofErr w:type="spellStart"/>
            <w:r w:rsidRPr="00936D45">
              <w:rPr>
                <w:sz w:val="28"/>
                <w:szCs w:val="28"/>
              </w:rPr>
              <w:t>толлинга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или транс</w:t>
            </w:r>
            <w:r w:rsidRPr="00936D45">
              <w:rPr>
                <w:sz w:val="28"/>
                <w:szCs w:val="28"/>
              </w:rPr>
              <w:br/>
            </w:r>
            <w:proofErr w:type="spellStart"/>
            <w:r w:rsidRPr="00936D45">
              <w:rPr>
                <w:sz w:val="28"/>
                <w:szCs w:val="28"/>
              </w:rPr>
              <w:t>фертного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ценообразования</w:t>
            </w:r>
          </w:p>
        </w:tc>
      </w:tr>
      <w:tr w:rsidR="008E0324" w:rsidRPr="00936D45" w:rsidTr="00AD5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9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Химическая промышленность (выручка по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расчетам - 16,2 млрд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руб., по данным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предприятий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9,7 млрд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1,3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Использование трансфертного</w:t>
            </w:r>
            <w:r w:rsidRPr="00936D45">
              <w:rPr>
                <w:sz w:val="28"/>
                <w:szCs w:val="28"/>
              </w:rPr>
              <w:br/>
              <w:t>ценообразования</w:t>
            </w:r>
          </w:p>
        </w:tc>
      </w:tr>
      <w:tr w:rsidR="008E0324" w:rsidRPr="00936D45" w:rsidTr="00AD5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9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Целлюлозно-бумажная промышленность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(выручка по расчетам</w:t>
            </w:r>
            <w:r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ab/>
              <w:t xml:space="preserve">16,9 млрд руб., </w:t>
            </w:r>
            <w:r w:rsidRPr="00936D45">
              <w:rPr>
                <w:sz w:val="28"/>
                <w:szCs w:val="28"/>
              </w:rPr>
              <w:t>по</w:t>
            </w:r>
            <w:r w:rsidRPr="00936D45">
              <w:rPr>
                <w:sz w:val="28"/>
                <w:szCs w:val="28"/>
              </w:rPr>
              <w:br/>
              <w:t>данным предприятий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-</w:t>
            </w:r>
            <w:r w:rsidRPr="00936D45">
              <w:rPr>
                <w:sz w:val="28"/>
                <w:szCs w:val="28"/>
              </w:rPr>
              <w:tab/>
              <w:t>10,4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млрд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5,6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Использование трансфертного</w:t>
            </w:r>
            <w:r w:rsidRPr="00936D45">
              <w:rPr>
                <w:sz w:val="28"/>
                <w:szCs w:val="28"/>
              </w:rPr>
              <w:br/>
              <w:t>ценообразования</w:t>
            </w:r>
          </w:p>
        </w:tc>
      </w:tr>
      <w:tr w:rsidR="008E0324" w:rsidRPr="00936D45" w:rsidTr="00AD5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Черная </w:t>
            </w:r>
            <w:r w:rsidRPr="00936D45">
              <w:rPr>
                <w:sz w:val="28"/>
                <w:szCs w:val="28"/>
              </w:rPr>
              <w:t>металлургия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(выручка по расчетам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6,8 млрд руб., по</w:t>
            </w:r>
            <w:r w:rsidRPr="00936D45">
              <w:rPr>
                <w:sz w:val="28"/>
                <w:szCs w:val="28"/>
              </w:rPr>
              <w:br/>
              <w:t>данным предприятия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-</w:t>
            </w:r>
            <w:r w:rsidRPr="00936D45">
              <w:rPr>
                <w:sz w:val="28"/>
                <w:szCs w:val="28"/>
              </w:rPr>
              <w:tab/>
              <w:t>2,7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млрд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3,3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2,2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Использование трансфертного</w:t>
            </w:r>
            <w:r w:rsidRPr="00936D45">
              <w:rPr>
                <w:sz w:val="28"/>
                <w:szCs w:val="28"/>
              </w:rPr>
              <w:br/>
              <w:t>ценообразования</w:t>
            </w:r>
          </w:p>
        </w:tc>
      </w:tr>
    </w:tbl>
    <w:p w:rsidR="008E0324" w:rsidRPr="00936D45" w:rsidRDefault="008E0324" w:rsidP="008E0324">
      <w:pPr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1418"/>
        <w:gridCol w:w="2976"/>
        <w:gridCol w:w="1418"/>
        <w:gridCol w:w="2835"/>
      </w:tblGrid>
      <w:tr w:rsidR="008E0324" w:rsidRPr="00936D45" w:rsidTr="008E03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/>
        </w:trPr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Отрасль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Прибыль на 2006 г., млрд руб.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Причина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занижения</w:t>
            </w:r>
          </w:p>
        </w:tc>
      </w:tr>
      <w:tr w:rsidR="008E0324" w:rsidRPr="00936D45" w:rsidTr="008E03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расчетам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данным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предприятий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Занижение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</w:p>
        </w:tc>
      </w:tr>
      <w:tr w:rsidR="008E0324" w:rsidRPr="00936D45" w:rsidTr="008E03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8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Железнодорожный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транспорт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6,2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3,0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Установление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затрат в тарифе на перевозки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уровне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среднероссийских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(без</w:t>
            </w:r>
            <w:r w:rsidRPr="00936D45">
              <w:rPr>
                <w:sz w:val="28"/>
                <w:szCs w:val="28"/>
              </w:rPr>
              <w:br/>
              <w:t>учета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низкой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стоимости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электроэнергии в Иркутской области)</w:t>
            </w:r>
          </w:p>
        </w:tc>
      </w:tr>
      <w:tr w:rsidR="008E0324" w:rsidRPr="00936D45" w:rsidTr="008E03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lastRenderedPageBreak/>
              <w:t>Итого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(занижение выручки</w:t>
            </w:r>
            <w:r w:rsidRPr="00936D45">
              <w:rPr>
                <w:sz w:val="28"/>
                <w:szCs w:val="28"/>
              </w:rPr>
              <w:br/>
              <w:t>75,4 млрд 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38,8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15,8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</w:p>
        </w:tc>
      </w:tr>
      <w:tr w:rsidR="008E0324" w:rsidRPr="00936D45" w:rsidTr="008E03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ind w:firstLine="0"/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Налог на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прибыль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в бюджет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области</w:t>
            </w:r>
            <w:r>
              <w:rPr>
                <w:sz w:val="28"/>
                <w:szCs w:val="28"/>
              </w:rPr>
              <w:t xml:space="preserve"> </w:t>
            </w:r>
            <w:r w:rsidRPr="00936D45">
              <w:rPr>
                <w:sz w:val="28"/>
                <w:szCs w:val="28"/>
              </w:rPr>
              <w:t>(17,1%)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6,6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  <w:r w:rsidRPr="00936D45">
              <w:rPr>
                <w:sz w:val="28"/>
                <w:szCs w:val="28"/>
              </w:rPr>
              <w:t>3,9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E0324" w:rsidRPr="00936D45" w:rsidRDefault="008E0324" w:rsidP="00AD5EDA">
            <w:pPr>
              <w:rPr>
                <w:sz w:val="28"/>
                <w:szCs w:val="28"/>
              </w:rPr>
            </w:pPr>
          </w:p>
        </w:tc>
      </w:tr>
    </w:tbl>
    <w:p w:rsidR="006E0A82" w:rsidRDefault="006E0A82"/>
    <w:sectPr w:rsidR="006E0A82" w:rsidSect="00854FCF">
      <w:pgSz w:w="12240" w:h="15840"/>
      <w:pgMar w:top="284" w:right="567" w:bottom="567" w:left="567" w:header="567" w:footer="567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BE3"/>
    <w:rsid w:val="006E0A82"/>
    <w:rsid w:val="00854FCF"/>
    <w:rsid w:val="008E0324"/>
    <w:rsid w:val="00F9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28E591-F4A3-4EB1-BDFE-11FD390A5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2</cp:revision>
  <dcterms:created xsi:type="dcterms:W3CDTF">2019-07-19T00:47:00Z</dcterms:created>
  <dcterms:modified xsi:type="dcterms:W3CDTF">2019-07-19T00:48:00Z</dcterms:modified>
</cp:coreProperties>
</file>